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3066C" w14:textId="4220C62C" w:rsidR="00191507" w:rsidRPr="00191507" w:rsidRDefault="00191507" w:rsidP="00191507">
      <w:pPr>
        <w:jc w:val="center"/>
        <w:rPr>
          <w:b/>
          <w:bCs/>
          <w:sz w:val="32"/>
          <w:szCs w:val="32"/>
        </w:rPr>
      </w:pPr>
      <w:r w:rsidRPr="00191507">
        <w:rPr>
          <w:b/>
          <w:bCs/>
          <w:sz w:val="32"/>
          <w:szCs w:val="32"/>
        </w:rPr>
        <w:t>Persepsi Risiko Dan Imbal Hasil Dalam Investasi Berkelanjutan: Tinjauan Behavioral Finance Dan Implikasi Hukum</w:t>
      </w:r>
    </w:p>
    <w:p w14:paraId="2F4B44F6" w14:textId="77777777" w:rsidR="006940AD" w:rsidRDefault="006940AD">
      <w:pPr>
        <w:spacing w:line="276" w:lineRule="auto"/>
        <w:jc w:val="center"/>
        <w:rPr>
          <w:b/>
          <w:sz w:val="16"/>
          <w:szCs w:val="16"/>
        </w:rPr>
      </w:pPr>
    </w:p>
    <w:p w14:paraId="75A16270" w14:textId="0223DB21" w:rsidR="006940AD" w:rsidRPr="008120C9" w:rsidRDefault="00191507" w:rsidP="00D62A00">
      <w:pPr>
        <w:jc w:val="center"/>
        <w:rPr>
          <w:b/>
          <w:sz w:val="20"/>
          <w:szCs w:val="20"/>
        </w:rPr>
      </w:pPr>
      <w:r w:rsidRPr="00191507">
        <w:rPr>
          <w:b/>
          <w:bCs/>
          <w:sz w:val="20"/>
          <w:szCs w:val="20"/>
        </w:rPr>
        <w:t>Yuliana Damayanti</w:t>
      </w:r>
      <w:r w:rsidR="00515F91" w:rsidRPr="008120C9">
        <w:rPr>
          <w:b/>
          <w:sz w:val="20"/>
          <w:szCs w:val="20"/>
          <w:vertAlign w:val="superscript"/>
        </w:rPr>
        <w:t>1</w:t>
      </w:r>
    </w:p>
    <w:p w14:paraId="4B4A510E" w14:textId="10897D2E" w:rsidR="006940AD" w:rsidRPr="00191507" w:rsidRDefault="00DB2D64" w:rsidP="00D62A00">
      <w:pPr>
        <w:jc w:val="center"/>
        <w:rPr>
          <w:sz w:val="16"/>
          <w:szCs w:val="16"/>
        </w:rPr>
      </w:pPr>
      <w:r>
        <w:rPr>
          <w:sz w:val="16"/>
          <w:szCs w:val="16"/>
          <w:vertAlign w:val="superscript"/>
        </w:rPr>
        <w:t>1</w:t>
      </w:r>
      <w:r w:rsidR="00191507" w:rsidRPr="00191507">
        <w:rPr>
          <w:sz w:val="16"/>
          <w:szCs w:val="16"/>
        </w:rPr>
        <w:t>Fakultas Hukum, Universitas Indonesia, Depok, Jawa Bara</w:t>
      </w:r>
      <w:r w:rsidR="00191507">
        <w:rPr>
          <w:sz w:val="16"/>
          <w:szCs w:val="16"/>
        </w:rPr>
        <w:t>t</w:t>
      </w:r>
    </w:p>
    <w:p w14:paraId="7D14755A" w14:textId="77777777" w:rsidR="006940AD" w:rsidRDefault="006940AD">
      <w:pPr>
        <w:spacing w:line="276" w:lineRule="auto"/>
        <w:jc w:val="center"/>
        <w:rPr>
          <w:sz w:val="16"/>
          <w:szCs w:val="16"/>
        </w:rPr>
      </w:pPr>
    </w:p>
    <w:tbl>
      <w:tblPr>
        <w:tblStyle w:val="a2"/>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8"/>
        <w:gridCol w:w="282"/>
        <w:gridCol w:w="6002"/>
      </w:tblGrid>
      <w:tr w:rsidR="006940AD" w14:paraId="045F95B9" w14:textId="77777777">
        <w:trPr>
          <w:jc w:val="center"/>
        </w:trPr>
        <w:tc>
          <w:tcPr>
            <w:tcW w:w="2788" w:type="dxa"/>
            <w:tcBorders>
              <w:top w:val="single" w:sz="4" w:space="0" w:color="000000"/>
              <w:left w:val="nil"/>
              <w:bottom w:val="single" w:sz="4" w:space="0" w:color="000000"/>
              <w:right w:val="nil"/>
            </w:tcBorders>
          </w:tcPr>
          <w:p w14:paraId="14E6F3C9" w14:textId="77777777" w:rsidR="006940AD" w:rsidRDefault="00DB2D64">
            <w:pPr>
              <w:spacing w:before="120" w:line="276" w:lineRule="auto"/>
              <w:jc w:val="both"/>
              <w:rPr>
                <w:b/>
              </w:rPr>
            </w:pPr>
            <w:r>
              <w:rPr>
                <w:b/>
              </w:rPr>
              <w:t>Article Info</w:t>
            </w:r>
          </w:p>
        </w:tc>
        <w:tc>
          <w:tcPr>
            <w:tcW w:w="282" w:type="dxa"/>
            <w:tcBorders>
              <w:top w:val="single" w:sz="4" w:space="0" w:color="000000"/>
              <w:left w:val="nil"/>
              <w:bottom w:val="nil"/>
              <w:right w:val="nil"/>
            </w:tcBorders>
          </w:tcPr>
          <w:p w14:paraId="7B2323AF" w14:textId="77777777" w:rsidR="006940AD" w:rsidRDefault="006940AD">
            <w:pPr>
              <w:spacing w:before="120" w:line="276" w:lineRule="auto"/>
              <w:jc w:val="center"/>
            </w:pPr>
          </w:p>
        </w:tc>
        <w:tc>
          <w:tcPr>
            <w:tcW w:w="6002" w:type="dxa"/>
            <w:tcBorders>
              <w:top w:val="single" w:sz="4" w:space="0" w:color="000000"/>
              <w:left w:val="nil"/>
              <w:bottom w:val="single" w:sz="4" w:space="0" w:color="000000"/>
              <w:right w:val="nil"/>
            </w:tcBorders>
          </w:tcPr>
          <w:p w14:paraId="0E1CDD39" w14:textId="77777777" w:rsidR="006940AD" w:rsidRDefault="00DB2D64">
            <w:pPr>
              <w:spacing w:before="120" w:line="276" w:lineRule="auto"/>
            </w:pPr>
            <w:r>
              <w:rPr>
                <w:b/>
              </w:rPr>
              <w:t>ABSTRAK</w:t>
            </w:r>
          </w:p>
        </w:tc>
      </w:tr>
      <w:tr w:rsidR="006940AD" w14:paraId="66F4CD4E" w14:textId="77777777">
        <w:trPr>
          <w:trHeight w:val="1311"/>
          <w:jc w:val="center"/>
        </w:trPr>
        <w:tc>
          <w:tcPr>
            <w:tcW w:w="2788" w:type="dxa"/>
            <w:tcBorders>
              <w:top w:val="single" w:sz="4" w:space="0" w:color="000000"/>
              <w:left w:val="nil"/>
              <w:bottom w:val="single" w:sz="4" w:space="0" w:color="000000"/>
              <w:right w:val="nil"/>
            </w:tcBorders>
          </w:tcPr>
          <w:p w14:paraId="61FF8EA8" w14:textId="77777777" w:rsidR="006940AD" w:rsidRDefault="00DB2D64">
            <w:pPr>
              <w:spacing w:before="120" w:after="120" w:line="276" w:lineRule="auto"/>
              <w:jc w:val="both"/>
              <w:rPr>
                <w:b/>
                <w:i/>
              </w:rPr>
            </w:pPr>
            <w:r>
              <w:rPr>
                <w:b/>
                <w:i/>
              </w:rPr>
              <w:t>Article history:</w:t>
            </w:r>
          </w:p>
          <w:p w14:paraId="2410A291" w14:textId="258C73FD" w:rsidR="006940AD" w:rsidRDefault="00DB2D64">
            <w:pPr>
              <w:jc w:val="both"/>
            </w:pPr>
            <w:r>
              <w:t xml:space="preserve">Received </w:t>
            </w:r>
            <w:r w:rsidR="00A821E2">
              <w:t>September</w:t>
            </w:r>
            <w:r w:rsidR="00527FDB">
              <w:t xml:space="preserve"> </w:t>
            </w:r>
            <w:r w:rsidR="00A821E2">
              <w:t>3</w:t>
            </w:r>
            <w:r w:rsidR="002429A1">
              <w:t>0</w:t>
            </w:r>
            <w:r>
              <w:t>, 2024</w:t>
            </w:r>
          </w:p>
          <w:p w14:paraId="2D395EDB" w14:textId="184A72DA" w:rsidR="006940AD" w:rsidRDefault="00DB2D64">
            <w:pPr>
              <w:jc w:val="both"/>
            </w:pPr>
            <w:r>
              <w:t xml:space="preserve">Revised </w:t>
            </w:r>
            <w:r w:rsidR="00A821E2">
              <w:t>Oktober</w:t>
            </w:r>
            <w:r w:rsidR="00527FDB">
              <w:t xml:space="preserve"> </w:t>
            </w:r>
            <w:r w:rsidR="002429A1">
              <w:t>2</w:t>
            </w:r>
            <w:r>
              <w:t>,  2024</w:t>
            </w:r>
          </w:p>
          <w:p w14:paraId="0CF8CAA8" w14:textId="1A2CD3C1" w:rsidR="006940AD" w:rsidRDefault="00DB2D64">
            <w:pPr>
              <w:jc w:val="both"/>
            </w:pPr>
            <w:r>
              <w:t xml:space="preserve">Accepted </w:t>
            </w:r>
            <w:r w:rsidR="00A821E2">
              <w:t>Oktober</w:t>
            </w:r>
            <w:r w:rsidR="00527FDB">
              <w:t xml:space="preserve"> </w:t>
            </w:r>
            <w:r w:rsidR="00A821E2">
              <w:t>3</w:t>
            </w:r>
            <w:r>
              <w:t>, 2024</w:t>
            </w:r>
          </w:p>
          <w:p w14:paraId="3F83535E" w14:textId="77777777" w:rsidR="006940AD" w:rsidRDefault="006940AD">
            <w:pPr>
              <w:spacing w:line="276" w:lineRule="auto"/>
              <w:jc w:val="both"/>
            </w:pPr>
          </w:p>
        </w:tc>
        <w:tc>
          <w:tcPr>
            <w:tcW w:w="282" w:type="dxa"/>
            <w:vMerge w:val="restart"/>
            <w:tcBorders>
              <w:top w:val="nil"/>
              <w:left w:val="nil"/>
              <w:bottom w:val="nil"/>
              <w:right w:val="nil"/>
            </w:tcBorders>
          </w:tcPr>
          <w:p w14:paraId="2C2209CD" w14:textId="77777777" w:rsidR="006940AD" w:rsidRDefault="006940AD">
            <w:pPr>
              <w:spacing w:before="120" w:line="276" w:lineRule="auto"/>
              <w:jc w:val="both"/>
            </w:pPr>
          </w:p>
        </w:tc>
        <w:tc>
          <w:tcPr>
            <w:tcW w:w="6002" w:type="dxa"/>
            <w:vMerge w:val="restart"/>
            <w:tcBorders>
              <w:top w:val="single" w:sz="4" w:space="0" w:color="000000"/>
              <w:left w:val="nil"/>
              <w:right w:val="nil"/>
            </w:tcBorders>
          </w:tcPr>
          <w:p w14:paraId="30DED058" w14:textId="0A0EC02A" w:rsidR="006940AD" w:rsidRPr="00600941" w:rsidRDefault="00600941" w:rsidP="009F0331">
            <w:pPr>
              <w:ind w:right="-118"/>
              <w:jc w:val="both"/>
              <w:rPr>
                <w:color w:val="000000"/>
              </w:rPr>
            </w:pPr>
            <w:r w:rsidRPr="00600941">
              <w:t xml:space="preserve">Investasi menjadi fokus utama dalam pengambilan keputusan finansial dimana dalam pengambilan keputusan finansial persepsi risiko dan harapan imbal hasil yang terkait tetap menjadi tantangan. Keseluruhannya dapat dipengaruhi oleh psikologi manusia dan bias-bias keputusan yang mungkin saja tidak rasional. Penelitian normatif ini menggunakan pendekatan studi kepustakaan dan secara konseptual khusus menelaah regulasi undang-undang investasi dan prinsip </w:t>
            </w:r>
            <w:r w:rsidRPr="00600941">
              <w:rPr>
                <w:i/>
                <w:iCs/>
              </w:rPr>
              <w:t>Behavioral Finance</w:t>
            </w:r>
            <w:r w:rsidRPr="00600941">
              <w:t xml:space="preserve"> dengan tujuan untuk menganalisis bagaimana investor memahami dan menilai risiko hubungan antara risiko dan ekspektasi imbal hasil dalam mengambil keputusan investasi yang rasional, serta mengeksplorasi implikasinya terhadap hukum investasi bagaimana regulasi dan kebijakan dapat membantu meningkatkan peluang investasi terutama dalam konteks investasi berkelanjutan serta meningkatkan kualitas keputusan investor. Studi ini mengidentifikasi faktor-faktor yang mempengaruhi persepsi risiko, seperti ketersediaan informasi, pengalaman sebelumnya, dan bias kognitif dengan mengadopsi berbagai karya literatur dan peraturan perundang-undangan. Implikasi hukum juga dibahas, menyoroti pentingnya regulasi dalam memberikan informasi yang transparan dan melindungi investor. Sehingga temuan ini memberikan pengetahuan mendalam bagi masyarakat, lembaga keuangan, juga para investor dalam memahami dinamika antara risiko dan imbal hasil dalam konteks investasi berkelanjutan</w:t>
            </w:r>
            <w:r w:rsidR="006A4422" w:rsidRPr="00600941">
              <w:t>.</w:t>
            </w:r>
          </w:p>
          <w:p w14:paraId="6EEB95C2" w14:textId="77777777" w:rsidR="006940AD" w:rsidRPr="00FA4479" w:rsidRDefault="006940AD">
            <w:pPr>
              <w:jc w:val="both"/>
              <w:rPr>
                <w:color w:val="000000"/>
              </w:rPr>
            </w:pPr>
          </w:p>
          <w:p w14:paraId="5EDD32DA" w14:textId="277AA4B2" w:rsidR="006940AD" w:rsidRPr="00FA4479" w:rsidRDefault="00DB2D64">
            <w:pPr>
              <w:pBdr>
                <w:top w:val="nil"/>
                <w:left w:val="nil"/>
                <w:bottom w:val="nil"/>
                <w:right w:val="nil"/>
                <w:between w:val="nil"/>
              </w:pBdr>
              <w:spacing w:line="276" w:lineRule="auto"/>
              <w:rPr>
                <w:i/>
                <w:color w:val="000000"/>
              </w:rPr>
            </w:pPr>
            <w:r w:rsidRPr="00FA4479">
              <w:rPr>
                <w:b/>
                <w:i/>
                <w:color w:val="000000"/>
              </w:rPr>
              <w:t xml:space="preserve">ABSTRACT </w:t>
            </w:r>
          </w:p>
        </w:tc>
      </w:tr>
      <w:tr w:rsidR="006940AD" w14:paraId="38433514" w14:textId="77777777">
        <w:trPr>
          <w:trHeight w:val="1497"/>
          <w:jc w:val="center"/>
        </w:trPr>
        <w:tc>
          <w:tcPr>
            <w:tcW w:w="2788" w:type="dxa"/>
            <w:tcBorders>
              <w:top w:val="single" w:sz="4" w:space="0" w:color="000000"/>
              <w:left w:val="nil"/>
              <w:bottom w:val="single" w:sz="4" w:space="0" w:color="000000"/>
              <w:right w:val="nil"/>
            </w:tcBorders>
          </w:tcPr>
          <w:p w14:paraId="587509B1" w14:textId="77777777" w:rsidR="006940AD" w:rsidRDefault="00DB2D64">
            <w:pPr>
              <w:spacing w:before="120" w:after="120" w:line="276" w:lineRule="auto"/>
              <w:jc w:val="both"/>
              <w:rPr>
                <w:b/>
              </w:rPr>
            </w:pPr>
            <w:r>
              <w:rPr>
                <w:b/>
              </w:rPr>
              <w:t>Kata Kunci:</w:t>
            </w:r>
          </w:p>
          <w:p w14:paraId="274FE0E2" w14:textId="77777777" w:rsidR="009F0331" w:rsidRDefault="009F0331" w:rsidP="00A4738B">
            <w:r w:rsidRPr="009F0331">
              <w:t xml:space="preserve">Investasi, </w:t>
            </w:r>
          </w:p>
          <w:p w14:paraId="5F1CD939" w14:textId="77777777" w:rsidR="009F0331" w:rsidRDefault="009F0331" w:rsidP="00A4738B">
            <w:r w:rsidRPr="009F0331">
              <w:t xml:space="preserve">Investasi Berkelanjutan, </w:t>
            </w:r>
          </w:p>
          <w:p w14:paraId="5BF5C9F9" w14:textId="77777777" w:rsidR="009F0331" w:rsidRDefault="009F0331" w:rsidP="00A4738B">
            <w:r w:rsidRPr="009F0331">
              <w:t xml:space="preserve">Risiko, </w:t>
            </w:r>
          </w:p>
          <w:p w14:paraId="0F99C086" w14:textId="77777777" w:rsidR="009F0331" w:rsidRDefault="009F0331" w:rsidP="00A4738B">
            <w:r w:rsidRPr="009F0331">
              <w:t xml:space="preserve">Imbal Hasil, </w:t>
            </w:r>
          </w:p>
          <w:p w14:paraId="59425440" w14:textId="77777777" w:rsidR="009F0331" w:rsidRDefault="009F0331" w:rsidP="00A4738B">
            <w:r w:rsidRPr="009F0331">
              <w:t xml:space="preserve">Behavioral Finance, </w:t>
            </w:r>
          </w:p>
          <w:p w14:paraId="42A4E1DD" w14:textId="77777777" w:rsidR="005D57CD" w:rsidRDefault="009F0331" w:rsidP="00A4738B">
            <w:r w:rsidRPr="009F0331">
              <w:t>Implikasi Hukum.</w:t>
            </w:r>
          </w:p>
          <w:p w14:paraId="53F7B51E" w14:textId="187B9CFD" w:rsidR="00FF3F0F" w:rsidRPr="009F0331" w:rsidRDefault="00FF3F0F" w:rsidP="00A4738B"/>
        </w:tc>
        <w:tc>
          <w:tcPr>
            <w:tcW w:w="282" w:type="dxa"/>
            <w:vMerge/>
            <w:tcBorders>
              <w:top w:val="nil"/>
              <w:left w:val="nil"/>
              <w:bottom w:val="nil"/>
              <w:right w:val="nil"/>
            </w:tcBorders>
          </w:tcPr>
          <w:p w14:paraId="60EC3289" w14:textId="77777777" w:rsidR="006940AD" w:rsidRDefault="006940AD">
            <w:pPr>
              <w:widowControl w:val="0"/>
              <w:pBdr>
                <w:top w:val="nil"/>
                <w:left w:val="nil"/>
                <w:bottom w:val="nil"/>
                <w:right w:val="nil"/>
                <w:between w:val="nil"/>
              </w:pBdr>
              <w:spacing w:line="276" w:lineRule="auto"/>
            </w:pPr>
          </w:p>
        </w:tc>
        <w:tc>
          <w:tcPr>
            <w:tcW w:w="6002" w:type="dxa"/>
            <w:vMerge/>
            <w:tcBorders>
              <w:top w:val="single" w:sz="4" w:space="0" w:color="000000"/>
              <w:left w:val="nil"/>
              <w:right w:val="nil"/>
            </w:tcBorders>
          </w:tcPr>
          <w:p w14:paraId="605BAE86" w14:textId="77777777" w:rsidR="006940AD" w:rsidRDefault="006940AD">
            <w:pPr>
              <w:widowControl w:val="0"/>
              <w:pBdr>
                <w:top w:val="nil"/>
                <w:left w:val="nil"/>
                <w:bottom w:val="nil"/>
                <w:right w:val="nil"/>
                <w:between w:val="nil"/>
              </w:pBdr>
              <w:spacing w:line="276" w:lineRule="auto"/>
            </w:pPr>
          </w:p>
        </w:tc>
      </w:tr>
      <w:tr w:rsidR="006940AD" w14:paraId="0BBF7F53" w14:textId="77777777" w:rsidTr="006A4422">
        <w:trPr>
          <w:trHeight w:val="230"/>
          <w:jc w:val="center"/>
        </w:trPr>
        <w:tc>
          <w:tcPr>
            <w:tcW w:w="2788" w:type="dxa"/>
            <w:vMerge w:val="restart"/>
            <w:tcBorders>
              <w:top w:val="single" w:sz="4" w:space="0" w:color="000000"/>
              <w:left w:val="nil"/>
              <w:bottom w:val="single" w:sz="4" w:space="0" w:color="000000"/>
              <w:right w:val="nil"/>
            </w:tcBorders>
          </w:tcPr>
          <w:p w14:paraId="05581769" w14:textId="77777777" w:rsidR="006940AD" w:rsidRDefault="00DB2D64">
            <w:pPr>
              <w:spacing w:before="120" w:after="120" w:line="276" w:lineRule="auto"/>
              <w:jc w:val="both"/>
              <w:rPr>
                <w:b/>
                <w:i/>
              </w:rPr>
            </w:pPr>
            <w:r>
              <w:rPr>
                <w:b/>
                <w:i/>
              </w:rPr>
              <w:t>Keywords:</w:t>
            </w:r>
          </w:p>
          <w:p w14:paraId="3D5DA3D4" w14:textId="77777777" w:rsidR="009F0331" w:rsidRPr="009F0331" w:rsidRDefault="009F0331" w:rsidP="00845B12">
            <w:pPr>
              <w:rPr>
                <w:i/>
                <w:iCs/>
              </w:rPr>
            </w:pPr>
            <w:r w:rsidRPr="009F0331">
              <w:rPr>
                <w:i/>
                <w:iCs/>
              </w:rPr>
              <w:t xml:space="preserve">Investment, </w:t>
            </w:r>
          </w:p>
          <w:p w14:paraId="059C30C7" w14:textId="77777777" w:rsidR="009F0331" w:rsidRPr="009F0331" w:rsidRDefault="009F0331" w:rsidP="00845B12">
            <w:pPr>
              <w:rPr>
                <w:i/>
                <w:iCs/>
              </w:rPr>
            </w:pPr>
            <w:r w:rsidRPr="009F0331">
              <w:rPr>
                <w:i/>
                <w:iCs/>
              </w:rPr>
              <w:t xml:space="preserve">Sustainable Investment, </w:t>
            </w:r>
          </w:p>
          <w:p w14:paraId="52C51D35" w14:textId="77777777" w:rsidR="009F0331" w:rsidRPr="009F0331" w:rsidRDefault="009F0331" w:rsidP="00845B12">
            <w:pPr>
              <w:rPr>
                <w:i/>
                <w:iCs/>
              </w:rPr>
            </w:pPr>
            <w:r w:rsidRPr="009F0331">
              <w:rPr>
                <w:i/>
                <w:iCs/>
              </w:rPr>
              <w:t xml:space="preserve">Risk, </w:t>
            </w:r>
          </w:p>
          <w:p w14:paraId="31036AD4" w14:textId="77777777" w:rsidR="009F0331" w:rsidRPr="009F0331" w:rsidRDefault="009F0331" w:rsidP="00845B12">
            <w:pPr>
              <w:rPr>
                <w:i/>
                <w:iCs/>
              </w:rPr>
            </w:pPr>
            <w:r w:rsidRPr="009F0331">
              <w:rPr>
                <w:i/>
                <w:iCs/>
              </w:rPr>
              <w:t xml:space="preserve">Return, </w:t>
            </w:r>
          </w:p>
          <w:p w14:paraId="2D9CA7B4" w14:textId="77777777" w:rsidR="009F0331" w:rsidRPr="009F0331" w:rsidRDefault="009F0331" w:rsidP="00845B12">
            <w:pPr>
              <w:rPr>
                <w:i/>
                <w:iCs/>
              </w:rPr>
            </w:pPr>
            <w:r w:rsidRPr="009F0331">
              <w:rPr>
                <w:i/>
                <w:iCs/>
              </w:rPr>
              <w:t xml:space="preserve">Behavioral Finance, </w:t>
            </w:r>
          </w:p>
          <w:p w14:paraId="16D08ED5" w14:textId="6B260BB9" w:rsidR="006940AD" w:rsidRPr="009F0331" w:rsidRDefault="009F0331" w:rsidP="00845B12">
            <w:pPr>
              <w:rPr>
                <w:b/>
                <w:bCs/>
                <w:i/>
              </w:rPr>
            </w:pPr>
            <w:r w:rsidRPr="009F0331">
              <w:rPr>
                <w:i/>
                <w:iCs/>
              </w:rPr>
              <w:t>Legal Implications.</w:t>
            </w:r>
          </w:p>
        </w:tc>
        <w:tc>
          <w:tcPr>
            <w:tcW w:w="282" w:type="dxa"/>
            <w:vMerge/>
            <w:tcBorders>
              <w:top w:val="nil"/>
              <w:left w:val="nil"/>
              <w:bottom w:val="nil"/>
              <w:right w:val="nil"/>
            </w:tcBorders>
          </w:tcPr>
          <w:p w14:paraId="5A043275" w14:textId="77777777" w:rsidR="006940AD" w:rsidRDefault="006940AD">
            <w:pPr>
              <w:widowControl w:val="0"/>
              <w:pBdr>
                <w:top w:val="nil"/>
                <w:left w:val="nil"/>
                <w:bottom w:val="nil"/>
                <w:right w:val="nil"/>
                <w:between w:val="nil"/>
              </w:pBdr>
              <w:spacing w:line="276" w:lineRule="auto"/>
              <w:rPr>
                <w:i/>
              </w:rPr>
            </w:pPr>
          </w:p>
        </w:tc>
        <w:tc>
          <w:tcPr>
            <w:tcW w:w="6002" w:type="dxa"/>
            <w:vMerge/>
            <w:tcBorders>
              <w:top w:val="single" w:sz="4" w:space="0" w:color="000000"/>
              <w:left w:val="nil"/>
              <w:right w:val="nil"/>
            </w:tcBorders>
          </w:tcPr>
          <w:p w14:paraId="6E108B5E" w14:textId="77777777" w:rsidR="006940AD" w:rsidRDefault="006940AD">
            <w:pPr>
              <w:widowControl w:val="0"/>
              <w:pBdr>
                <w:top w:val="nil"/>
                <w:left w:val="nil"/>
                <w:bottom w:val="nil"/>
                <w:right w:val="nil"/>
                <w:between w:val="nil"/>
              </w:pBdr>
              <w:spacing w:line="276" w:lineRule="auto"/>
              <w:rPr>
                <w:i/>
              </w:rPr>
            </w:pPr>
          </w:p>
        </w:tc>
      </w:tr>
      <w:tr w:rsidR="006940AD" w:rsidRPr="00600941" w14:paraId="7BA96CE4" w14:textId="77777777">
        <w:trPr>
          <w:trHeight w:val="1242"/>
          <w:jc w:val="center"/>
        </w:trPr>
        <w:tc>
          <w:tcPr>
            <w:tcW w:w="2788" w:type="dxa"/>
            <w:vMerge/>
            <w:tcBorders>
              <w:top w:val="single" w:sz="4" w:space="0" w:color="000000"/>
              <w:left w:val="nil"/>
              <w:bottom w:val="single" w:sz="4" w:space="0" w:color="000000"/>
              <w:right w:val="nil"/>
            </w:tcBorders>
          </w:tcPr>
          <w:p w14:paraId="4C845577" w14:textId="77777777" w:rsidR="006940AD" w:rsidRDefault="006940AD">
            <w:pPr>
              <w:widowControl w:val="0"/>
              <w:pBdr>
                <w:top w:val="nil"/>
                <w:left w:val="nil"/>
                <w:bottom w:val="nil"/>
                <w:right w:val="nil"/>
                <w:between w:val="nil"/>
              </w:pBdr>
              <w:spacing w:line="276" w:lineRule="auto"/>
              <w:rPr>
                <w:i/>
              </w:rPr>
            </w:pPr>
          </w:p>
        </w:tc>
        <w:tc>
          <w:tcPr>
            <w:tcW w:w="282" w:type="dxa"/>
            <w:vMerge/>
            <w:tcBorders>
              <w:top w:val="nil"/>
              <w:left w:val="nil"/>
              <w:bottom w:val="nil"/>
              <w:right w:val="nil"/>
            </w:tcBorders>
          </w:tcPr>
          <w:p w14:paraId="0BCF868F" w14:textId="77777777" w:rsidR="006940AD" w:rsidRDefault="006940AD">
            <w:pPr>
              <w:widowControl w:val="0"/>
              <w:pBdr>
                <w:top w:val="nil"/>
                <w:left w:val="nil"/>
                <w:bottom w:val="nil"/>
                <w:right w:val="nil"/>
                <w:between w:val="nil"/>
              </w:pBdr>
              <w:spacing w:line="276" w:lineRule="auto"/>
              <w:rPr>
                <w:i/>
              </w:rPr>
            </w:pPr>
          </w:p>
        </w:tc>
        <w:tc>
          <w:tcPr>
            <w:tcW w:w="6002" w:type="dxa"/>
            <w:tcBorders>
              <w:top w:val="single" w:sz="4" w:space="0" w:color="000000"/>
              <w:left w:val="nil"/>
              <w:right w:val="nil"/>
            </w:tcBorders>
          </w:tcPr>
          <w:p w14:paraId="3369C4A3" w14:textId="2EC5AA62" w:rsidR="006940AD" w:rsidRPr="00600941" w:rsidRDefault="00600941" w:rsidP="009F0331">
            <w:pPr>
              <w:ind w:right="-118"/>
              <w:jc w:val="both"/>
              <w:rPr>
                <w:b/>
                <w:i/>
              </w:rPr>
            </w:pPr>
            <w:r w:rsidRPr="00600941">
              <w:t xml:space="preserve">Investment is the main focus in financial decision-making where in financial decision-making, the perception of risk and the associated expectation of return remain challenges. The whole can be influenced by human psychology and biases of decisions that may be irrational. This normative research uses a literature study approach and conceptually specifically examines the regulation of investment law and the principles of </w:t>
            </w:r>
            <w:r w:rsidRPr="00600941">
              <w:rPr>
                <w:i/>
                <w:iCs/>
              </w:rPr>
              <w:t>Behavioral Finance</w:t>
            </w:r>
            <w:r w:rsidRPr="00600941">
              <w:t xml:space="preserve"> with the aim of analyzing how investors understand and assess risk, the relationship between risk and return expectations in making rational investment decisions, and explore their implications for investment law on how regulations and policies can help increase opportunities investment, especially in the context of sustainable investment and improving the quality of investor decisions. The study identified factors that affect risk perception, such as information availability, prior experience, and cognitive bias by adopting various literature works and legislation. The legal implications were also discussed, highlighting the importance of regulation in providing transparent information and protecting investors. Therefore, this finding provides valuable insights for policymakers, financial institutions, and investors in understanding the dynamics between risk and return in the context of sustainable investment</w:t>
            </w:r>
            <w:r>
              <w:t>.</w:t>
            </w:r>
          </w:p>
        </w:tc>
      </w:tr>
      <w:tr w:rsidR="006940AD" w14:paraId="10F213DB" w14:textId="77777777">
        <w:trPr>
          <w:trHeight w:val="70"/>
          <w:jc w:val="center"/>
        </w:trPr>
        <w:tc>
          <w:tcPr>
            <w:tcW w:w="2788" w:type="dxa"/>
            <w:vMerge/>
            <w:tcBorders>
              <w:top w:val="single" w:sz="4" w:space="0" w:color="000000"/>
              <w:left w:val="nil"/>
              <w:bottom w:val="single" w:sz="4" w:space="0" w:color="000000"/>
              <w:right w:val="nil"/>
            </w:tcBorders>
          </w:tcPr>
          <w:p w14:paraId="2DC35234" w14:textId="77777777" w:rsidR="006940AD" w:rsidRDefault="006940AD">
            <w:pPr>
              <w:widowControl w:val="0"/>
              <w:pBdr>
                <w:top w:val="nil"/>
                <w:left w:val="nil"/>
                <w:bottom w:val="nil"/>
                <w:right w:val="nil"/>
                <w:between w:val="nil"/>
              </w:pBdr>
              <w:spacing w:line="276" w:lineRule="auto"/>
              <w:rPr>
                <w:b/>
                <w:i/>
              </w:rPr>
            </w:pPr>
          </w:p>
        </w:tc>
        <w:tc>
          <w:tcPr>
            <w:tcW w:w="282" w:type="dxa"/>
            <w:vMerge/>
            <w:tcBorders>
              <w:top w:val="nil"/>
              <w:left w:val="nil"/>
              <w:bottom w:val="nil"/>
              <w:right w:val="nil"/>
            </w:tcBorders>
          </w:tcPr>
          <w:p w14:paraId="3935539B" w14:textId="77777777" w:rsidR="006940AD" w:rsidRDefault="006940AD">
            <w:pPr>
              <w:widowControl w:val="0"/>
              <w:pBdr>
                <w:top w:val="nil"/>
                <w:left w:val="nil"/>
                <w:bottom w:val="nil"/>
                <w:right w:val="nil"/>
                <w:between w:val="nil"/>
              </w:pBdr>
              <w:spacing w:line="276" w:lineRule="auto"/>
              <w:rPr>
                <w:b/>
                <w:i/>
              </w:rPr>
            </w:pPr>
          </w:p>
        </w:tc>
        <w:tc>
          <w:tcPr>
            <w:tcW w:w="6002" w:type="dxa"/>
            <w:tcBorders>
              <w:top w:val="nil"/>
              <w:left w:val="nil"/>
              <w:bottom w:val="single" w:sz="4" w:space="0" w:color="000000"/>
              <w:right w:val="nil"/>
            </w:tcBorders>
          </w:tcPr>
          <w:p w14:paraId="4DD53C6C" w14:textId="77777777" w:rsidR="006940AD" w:rsidRDefault="00DB2D64">
            <w:pPr>
              <w:spacing w:before="120" w:after="120" w:line="276" w:lineRule="auto"/>
              <w:jc w:val="right"/>
              <w:rPr>
                <w:i/>
                <w:sz w:val="18"/>
                <w:szCs w:val="18"/>
              </w:rPr>
            </w:pPr>
            <w:r>
              <w:rPr>
                <w:i/>
                <w:sz w:val="18"/>
                <w:szCs w:val="18"/>
              </w:rPr>
              <w:t xml:space="preserve">This is an open access article under the </w:t>
            </w:r>
            <w:hyperlink r:id="rId8">
              <w:r>
                <w:rPr>
                  <w:i/>
                  <w:sz w:val="18"/>
                  <w:szCs w:val="18"/>
                  <w:u w:val="single"/>
                </w:rPr>
                <w:t>CC BY</w:t>
              </w:r>
            </w:hyperlink>
            <w:r>
              <w:rPr>
                <w:i/>
                <w:sz w:val="18"/>
                <w:szCs w:val="18"/>
              </w:rPr>
              <w:t xml:space="preserve"> license.</w:t>
            </w:r>
          </w:p>
          <w:p w14:paraId="087BD048" w14:textId="77777777" w:rsidR="006940AD" w:rsidRDefault="00DB2D64">
            <w:pPr>
              <w:spacing w:before="120" w:after="120" w:line="276" w:lineRule="auto"/>
              <w:jc w:val="right"/>
              <w:rPr>
                <w:i/>
                <w:sz w:val="18"/>
                <w:szCs w:val="18"/>
              </w:rPr>
            </w:pPr>
            <w:r>
              <w:rPr>
                <w:noProof/>
                <w:sz w:val="19"/>
                <w:szCs w:val="19"/>
                <w:lang w:val="en-US"/>
              </w:rPr>
              <w:drawing>
                <wp:inline distT="0" distB="0" distL="0" distR="0" wp14:anchorId="424C486D" wp14:editId="03836574">
                  <wp:extent cx="1115695" cy="396240"/>
                  <wp:effectExtent l="0" t="0" r="0" b="0"/>
                  <wp:docPr id="473575337"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9"/>
                          <a:srcRect/>
                          <a:stretch>
                            <a:fillRect/>
                          </a:stretch>
                        </pic:blipFill>
                        <pic:spPr>
                          <a:xfrm>
                            <a:off x="0" y="0"/>
                            <a:ext cx="1115695" cy="396240"/>
                          </a:xfrm>
                          <a:prstGeom prst="rect">
                            <a:avLst/>
                          </a:prstGeom>
                          <a:ln/>
                        </pic:spPr>
                      </pic:pic>
                    </a:graphicData>
                  </a:graphic>
                </wp:inline>
              </w:drawing>
            </w:r>
          </w:p>
        </w:tc>
      </w:tr>
      <w:tr w:rsidR="006940AD" w14:paraId="01B4B3C8" w14:textId="77777777">
        <w:trPr>
          <w:trHeight w:val="1512"/>
          <w:jc w:val="center"/>
        </w:trPr>
        <w:tc>
          <w:tcPr>
            <w:tcW w:w="9072" w:type="dxa"/>
            <w:gridSpan w:val="3"/>
            <w:tcBorders>
              <w:top w:val="nil"/>
              <w:left w:val="nil"/>
              <w:bottom w:val="single" w:sz="4" w:space="0" w:color="000000"/>
              <w:right w:val="nil"/>
            </w:tcBorders>
          </w:tcPr>
          <w:p w14:paraId="31F066CA" w14:textId="77777777" w:rsidR="006940AD" w:rsidRDefault="00DB2D64">
            <w:pPr>
              <w:spacing w:before="120" w:after="120" w:line="276" w:lineRule="auto"/>
              <w:rPr>
                <w:b/>
                <w:i/>
              </w:rPr>
            </w:pPr>
            <w:r>
              <w:rPr>
                <w:b/>
                <w:i/>
              </w:rPr>
              <w:t>Corresponding Author:</w:t>
            </w:r>
            <w:r>
              <w:rPr>
                <w:b/>
              </w:rPr>
              <w:t xml:space="preserve"> </w:t>
            </w:r>
          </w:p>
          <w:p w14:paraId="6EA42FFE" w14:textId="595C8A0D" w:rsidR="006940AD" w:rsidRPr="008C5F15" w:rsidRDefault="00FD7A1A" w:rsidP="0033594D">
            <w:r w:rsidRPr="008C5F15">
              <w:t>Yuliana Damayanti</w:t>
            </w:r>
            <w:r w:rsidR="00515F91" w:rsidRPr="008C5F15">
              <w:t xml:space="preserve"> </w:t>
            </w:r>
          </w:p>
          <w:p w14:paraId="53BDB64C" w14:textId="77777777" w:rsidR="004019BA" w:rsidRPr="008C5F15" w:rsidRDefault="004019BA">
            <w:r w:rsidRPr="008C5F15">
              <w:t xml:space="preserve">Fakultas Hukum, Universitas Indonesia, </w:t>
            </w:r>
          </w:p>
          <w:p w14:paraId="09026C07" w14:textId="50F4A07D" w:rsidR="00895545" w:rsidRPr="008C5F15" w:rsidRDefault="004019BA">
            <w:r w:rsidRPr="008C5F15">
              <w:t>Depok, Jawa Barat</w:t>
            </w:r>
            <w:r w:rsidR="00895545" w:rsidRPr="008C5F15">
              <w:t xml:space="preserve"> </w:t>
            </w:r>
          </w:p>
          <w:p w14:paraId="4F847E2D" w14:textId="3A7BB235" w:rsidR="00CD5FFF" w:rsidRPr="008C5F15" w:rsidRDefault="00DB2D64" w:rsidP="00CD5FFF">
            <w:pPr>
              <w:rPr>
                <w:b/>
                <w:bCs/>
              </w:rPr>
            </w:pPr>
            <w:r w:rsidRPr="008C5F15">
              <w:t xml:space="preserve">Email: </w:t>
            </w:r>
            <w:r w:rsidR="008C5F15" w:rsidRPr="008C5F15">
              <w:t>yulianadamayanti2909@gmail.com</w:t>
            </w:r>
          </w:p>
          <w:p w14:paraId="2EBC1D16" w14:textId="28E95486" w:rsidR="006940AD" w:rsidRPr="006B5B8C" w:rsidRDefault="006940AD" w:rsidP="00CD5FFF"/>
        </w:tc>
      </w:tr>
    </w:tbl>
    <w:p w14:paraId="2AE73241" w14:textId="77777777" w:rsidR="00CB2DF7" w:rsidRDefault="00CB2DF7">
      <w:pPr>
        <w:spacing w:line="276" w:lineRule="auto"/>
        <w:rPr>
          <w:b/>
        </w:rPr>
      </w:pPr>
      <w:bookmarkStart w:id="0" w:name="_heading=h.gjdgxs" w:colFirst="0" w:colLast="0"/>
      <w:bookmarkEnd w:id="0"/>
    </w:p>
    <w:p w14:paraId="19D75FE7" w14:textId="443CEBFC" w:rsidR="006940AD" w:rsidRDefault="00FE4B63">
      <w:pPr>
        <w:numPr>
          <w:ilvl w:val="0"/>
          <w:numId w:val="1"/>
        </w:numPr>
        <w:pBdr>
          <w:top w:val="nil"/>
          <w:left w:val="nil"/>
          <w:bottom w:val="nil"/>
          <w:right w:val="nil"/>
          <w:between w:val="nil"/>
        </w:pBdr>
        <w:spacing w:line="276" w:lineRule="auto"/>
        <w:ind w:left="567" w:hanging="567"/>
        <w:jc w:val="both"/>
        <w:rPr>
          <w:b/>
          <w:color w:val="FF0000"/>
        </w:rPr>
      </w:pPr>
      <w:r>
        <w:rPr>
          <w:b/>
        </w:rPr>
        <w:t>PENDAHULUAN</w:t>
      </w:r>
    </w:p>
    <w:p w14:paraId="5230C6C0" w14:textId="0E5D2839" w:rsidR="000F626E" w:rsidRPr="00A942B1" w:rsidRDefault="000F626E" w:rsidP="000F626E">
      <w:pPr>
        <w:pStyle w:val="ListParagraph"/>
        <w:spacing w:line="276" w:lineRule="auto"/>
        <w:ind w:left="0" w:firstLine="567"/>
        <w:jc w:val="both"/>
        <w:rPr>
          <w:b/>
          <w:bCs/>
        </w:rPr>
      </w:pPr>
      <w:r w:rsidRPr="00A942B1">
        <w:t xml:space="preserve">Di tengah-tengah tantangan lingkungan, sosial, dan ekonomi yang semakin  kompleks  di  era  modern,  investasi  berkelanjutan  telah muncul  sebagai  solusi  yang  menjanjikan  </w:t>
      </w:r>
      <w:r>
        <w:t>pembangunan</w:t>
      </w:r>
      <w:r w:rsidRPr="00A942B1">
        <w:t xml:space="preserve"> dunia </w:t>
      </w:r>
      <w:r>
        <w:t>dengan taraf lebih baik</w:t>
      </w:r>
      <w:r w:rsidRPr="00A942B1">
        <w:t xml:space="preserve"> </w:t>
      </w:r>
      <w:r>
        <w:t>untuk keseluruhan generasi</w:t>
      </w:r>
      <w:r w:rsidRPr="00A942B1">
        <w:t xml:space="preserve"> </w:t>
      </w:r>
      <w:r>
        <w:t>dikemudian hari</w:t>
      </w:r>
      <w:r w:rsidRPr="00A942B1">
        <w:t xml:space="preserve">. Konsep investasi berkelanjutan menjadi salah satu konsep penting yang menjadi perhatian manajemen dan stakeholder perusahaan. Investasi berkelanjutan </w:t>
      </w:r>
      <w:r>
        <w:t>bukan</w:t>
      </w:r>
      <w:r w:rsidRPr="00A942B1">
        <w:t xml:space="preserve"> hanya </w:t>
      </w:r>
      <w:r>
        <w:t xml:space="preserve">bergerak demi </w:t>
      </w:r>
      <w:r w:rsidRPr="00A942B1">
        <w:t>mendapatkan  keuntungan  finansial, tetapi juga memperhatikan dampak sosial dan lingkungan yang terkait dengan  keputusan  investasi  yang  dipilih</w:t>
      </w:r>
      <w:r w:rsidR="00924BCA">
        <w:t xml:space="preserve"> [1].</w:t>
      </w:r>
      <w:r w:rsidRPr="00A942B1">
        <w:t xml:space="preserve"> Titik </w:t>
      </w:r>
      <w:r>
        <w:t>per</w:t>
      </w:r>
      <w:r w:rsidRPr="00A942B1">
        <w:t>temu</w:t>
      </w:r>
      <w:r>
        <w:t>an</w:t>
      </w:r>
      <w:r w:rsidRPr="00A942B1">
        <w:t xml:space="preserve"> antara keberlanjutan</w:t>
      </w:r>
      <w:r>
        <w:t xml:space="preserve"> Pembangunan ekonomi serta </w:t>
      </w:r>
      <w:r w:rsidRPr="00A942B1">
        <w:t>investasi</w:t>
      </w:r>
      <w:r>
        <w:t xml:space="preserve"> </w:t>
      </w:r>
      <w:r w:rsidRPr="00A942B1">
        <w:t xml:space="preserve">telah  menjadi  </w:t>
      </w:r>
      <w:r>
        <w:t>pusat kehadirannya angan-angan kontemporer</w:t>
      </w:r>
      <w:r w:rsidR="00924BCA">
        <w:t xml:space="preserve"> [2].</w:t>
      </w:r>
      <w:r w:rsidRPr="00A942B1">
        <w:t xml:space="preserve"> investasi berkelanjutan bertanggung jawab menggabungkan penilaian risiko lingkungan hidup, sosial dan</w:t>
      </w:r>
      <w:r>
        <w:t xml:space="preserve"> juga</w:t>
      </w:r>
      <w:r w:rsidRPr="00A942B1">
        <w:t xml:space="preserve"> tata kelola jangka panjang tantangan dan perkembangan </w:t>
      </w:r>
      <w:r>
        <w:t>ketiga variabel tersebut masuk</w:t>
      </w:r>
      <w:r w:rsidRPr="00A942B1">
        <w:t xml:space="preserve"> ke dalam tujuan maksimalisasi imbal hasil keuangan</w:t>
      </w:r>
      <w:r w:rsidR="00482BB7">
        <w:t xml:space="preserve"> [3].</w:t>
      </w:r>
      <w:r w:rsidRPr="00A942B1">
        <w:t xml:space="preserve"> Oleh karena itu, perlu adanya interaksi antara </w:t>
      </w:r>
      <w:r w:rsidRPr="00A942B1">
        <w:rPr>
          <w:i/>
          <w:iCs/>
        </w:rPr>
        <w:t>Behavioral Finance</w:t>
      </w:r>
      <w:r w:rsidRPr="00A942B1">
        <w:t xml:space="preserve"> dengan investasi bekelanjutan yang kemudian membantu investor mengatasi bias dan membuat Keputusan yang lebih baik terkait investasi berkelanjutan.</w:t>
      </w:r>
    </w:p>
    <w:p w14:paraId="34458FFD" w14:textId="5FCFADA4" w:rsidR="000F626E" w:rsidRPr="00D92D28" w:rsidRDefault="000F626E" w:rsidP="000F626E">
      <w:pPr>
        <w:pStyle w:val="ListParagraph"/>
        <w:spacing w:line="276" w:lineRule="auto"/>
        <w:ind w:left="0" w:firstLine="567"/>
        <w:jc w:val="both"/>
      </w:pPr>
      <w:r w:rsidRPr="000C38E3">
        <w:t xml:space="preserve">Bias perilaku membantu dalam memahami mengapa individu membuat keputusan tertentu dan bagaimana keputusan ini dapat ditingkatkan dari sudut pandang </w:t>
      </w:r>
      <w:r w:rsidRPr="000C38E3">
        <w:rPr>
          <w:i/>
          <w:iCs/>
        </w:rPr>
        <w:t>Behavioral Finance</w:t>
      </w:r>
      <w:r w:rsidRPr="000C38E3">
        <w:t>. Hal ini karena, dalam proses pengambilan keputusan investasi, individu cenderung kurang rasional dibandingkan dengan apa yang disarankan oleh teori keuangan tradisional. Akibatnya, alih-alih membuat pilihan yang optimal (rasional), investor lebih sering menggunakan jalan pintas atau jalan pintas atau heuristik yang lebih sesuai dengan preferensi pribadi mereka, sehingga menghasilkan keputusan yang memuaskan namun belum tentu optimal</w:t>
      </w:r>
      <w:r w:rsidR="00482BB7">
        <w:t xml:space="preserve"> [4].</w:t>
      </w:r>
      <w:r w:rsidR="00482BB7" w:rsidRPr="000C38E3">
        <w:t xml:space="preserve"> </w:t>
      </w:r>
      <w:r w:rsidRPr="000C38E3">
        <w:t>Keputusan investasi sebagai tindakan yang diambil oleh seorang investor pada masa sekarang untuk mengambil gambaran keuntungan di masa mendatang</w:t>
      </w:r>
      <w:r w:rsidR="00A4607C">
        <w:t xml:space="preserve"> [5].</w:t>
      </w:r>
      <w:r w:rsidRPr="000C38E3">
        <w:t xml:space="preserve"> Proses </w:t>
      </w:r>
      <w:r>
        <w:t>pengambilan keputusan investasi akan berjalan dengan lancar jika individu memiliki kepastian keuangan yang terperinci, perencanaan keuangan yang matang dan kemampuan untuk mengatur keuangan yang baik</w:t>
      </w:r>
      <w:r w:rsidR="00E27209">
        <w:t xml:space="preserve"> [6].</w:t>
      </w:r>
      <w:r w:rsidRPr="000C38E3">
        <w:t xml:space="preserve"> Sudut pandang ini</w:t>
      </w:r>
      <w:r>
        <w:t>lah kemudian</w:t>
      </w:r>
      <w:r w:rsidRPr="000C38E3">
        <w:t xml:space="preserve"> m</w:t>
      </w:r>
      <w:r>
        <w:t>enggabungkan ke</w:t>
      </w:r>
      <w:r w:rsidRPr="000C38E3">
        <w:t>dua</w:t>
      </w:r>
      <w:r>
        <w:t>nya</w:t>
      </w:r>
      <w:r w:rsidRPr="000C38E3">
        <w:t xml:space="preserve"> menjadi </w:t>
      </w:r>
      <w:r>
        <w:t>sebuah tumpuan</w:t>
      </w:r>
      <w:r w:rsidRPr="000C38E3">
        <w:t xml:space="preserve"> dalam investasi ya</w:t>
      </w:r>
      <w:r>
        <w:t xml:space="preserve">kni kehadiran </w:t>
      </w:r>
      <w:r w:rsidRPr="000C38E3">
        <w:t>risiko dan imbal balik.</w:t>
      </w:r>
      <w:r>
        <w:t xml:space="preserve"> R</w:t>
      </w:r>
      <w:r w:rsidRPr="00D92D28">
        <w:t>isiko menjadi salah satu momok bagi investor dalam memulai aktivitas berinvestasinya pada pasar modal</w:t>
      </w:r>
      <w:r w:rsidR="003F7BEE">
        <w:t xml:space="preserve"> [7].</w:t>
      </w:r>
      <w:r w:rsidRPr="00D92D28">
        <w:t xml:space="preserve"> Hal ini kemudian juga menunjukkan bahwa imal hasil yang didapatkan dari Keputusan investasi sangat berpengaruh dalam hal positif.</w:t>
      </w:r>
    </w:p>
    <w:p w14:paraId="65B2F9FF" w14:textId="3ACABEC1" w:rsidR="006472E7" w:rsidRPr="006472E7" w:rsidRDefault="000F626E" w:rsidP="000F626E">
      <w:pPr>
        <w:pStyle w:val="NormalWeb"/>
        <w:spacing w:before="0" w:beforeAutospacing="0" w:after="0" w:afterAutospacing="0" w:line="276" w:lineRule="auto"/>
        <w:ind w:firstLine="567"/>
        <w:jc w:val="both"/>
      </w:pPr>
      <w:r w:rsidRPr="000C38E3">
        <w:t xml:space="preserve">Dalam konteks hukum, fenomena ini kemudian menghasilkan sebuah implikasi hukum. Peraturan tersebut harus memastikan bahwa eksplorasi preferensi keberlanjutan investor </w:t>
      </w:r>
      <w:r w:rsidRPr="000C38E3">
        <w:lastRenderedPageBreak/>
        <w:t xml:space="preserve">dilakukan dengan cara yang seimbang, yaitu dengan menanyakan  “Apakah Anda akan berinvestasi dalam investasi berkelanjutan meskipun investasi tersebut menawarkan yang lebih </w:t>
      </w:r>
      <w:r>
        <w:t>kecil</w:t>
      </w:r>
      <w:r w:rsidRPr="000C38E3">
        <w:t xml:space="preserve"> dan kemungkinan risiko yang lebih </w:t>
      </w:r>
      <w:r>
        <w:t>rentan</w:t>
      </w:r>
      <w:r w:rsidRPr="000C38E3">
        <w:t>?”</w:t>
      </w:r>
      <w:r w:rsidR="002A6312">
        <w:t xml:space="preserve"> [8].</w:t>
      </w:r>
      <w:r w:rsidR="002A6312" w:rsidRPr="000C38E3">
        <w:t xml:space="preserve"> </w:t>
      </w:r>
      <w:r w:rsidRPr="000C38E3">
        <w:t xml:space="preserve">Pembangunan nasional </w:t>
      </w:r>
      <w:r>
        <w:t>perlu diarahkan menuju keberlanjutan yang mengacu pada kerja keras yang dilakukan secara terorganisir dengan melakukan integrasi terhadap aspek lingkungan, sosial dan tahapan perekonomian dalam membangun rencana pembangunan. Tujuannya yakni untuk memastikan kesejahteraan yang utuh serta kualitas hidup bagi generasi sekarang yang akan datang.</w:t>
      </w:r>
      <w:r w:rsidRPr="000C38E3">
        <w:t xml:space="preserve"> Mempertimbangkan secara komprehensif tantangan kritis dalam regulasi hukum investasi di Indonesia dengan fokus pada pengaruhnya terhadap pertumbuhan ekonomi terutama investasi berkelanjutan</w:t>
      </w:r>
      <w:r w:rsidR="00146199">
        <w:t xml:space="preserve"> [9].</w:t>
      </w:r>
      <w:r w:rsidRPr="000C38E3">
        <w:t xml:space="preserve"> Sehingga Penelitian ini, akan menekankan pada isu mengenai </w:t>
      </w:r>
      <w:r>
        <w:t>risiko</w:t>
      </w:r>
      <w:r w:rsidRPr="000C38E3">
        <w:t xml:space="preserve"> dan imbal hasil dalam prinsip </w:t>
      </w:r>
      <w:r w:rsidRPr="000C38E3">
        <w:rPr>
          <w:i/>
          <w:iCs/>
        </w:rPr>
        <w:t>Behavioral Finance</w:t>
      </w:r>
      <w:r w:rsidRPr="000C38E3">
        <w:t xml:space="preserve"> dan implikasi hukumnya di Indonesia. Penelitian ini akan mengarah kepada eksplorasi persepsi </w:t>
      </w:r>
      <w:r>
        <w:t>risiko</w:t>
      </w:r>
      <w:r w:rsidRPr="000C38E3">
        <w:t xml:space="preserve"> dan imbal hasil investor mempengaruhi Keputusan investasi dan regulasi serta kebijakan yang memengaruhi Keputusan investasi dengan prisnip </w:t>
      </w:r>
      <w:r w:rsidRPr="000C38E3">
        <w:rPr>
          <w:i/>
          <w:iCs/>
        </w:rPr>
        <w:t>Behavioral Finance</w:t>
      </w:r>
      <w:r w:rsidRPr="000C38E3">
        <w:t xml:space="preserve"> dalam kontek berkelanjutan</w:t>
      </w:r>
      <w:r w:rsidR="006472E7" w:rsidRPr="006472E7">
        <w:t>.</w:t>
      </w:r>
    </w:p>
    <w:p w14:paraId="1A6D5883" w14:textId="22353BC9" w:rsidR="006940AD" w:rsidRPr="001B1D46" w:rsidRDefault="006940AD" w:rsidP="001B1D46">
      <w:pPr>
        <w:pStyle w:val="Body"/>
        <w:tabs>
          <w:tab w:val="left" w:pos="567"/>
        </w:tabs>
        <w:jc w:val="both"/>
      </w:pPr>
    </w:p>
    <w:p w14:paraId="6FE9547B" w14:textId="55A85697" w:rsidR="006940AD" w:rsidRDefault="00DB2D64">
      <w:pPr>
        <w:pBdr>
          <w:top w:val="nil"/>
          <w:left w:val="nil"/>
          <w:bottom w:val="nil"/>
          <w:right w:val="nil"/>
          <w:between w:val="nil"/>
        </w:pBdr>
        <w:tabs>
          <w:tab w:val="left" w:pos="567"/>
        </w:tabs>
        <w:spacing w:line="276" w:lineRule="auto"/>
        <w:jc w:val="both"/>
        <w:rPr>
          <w:color w:val="000000"/>
        </w:rPr>
      </w:pPr>
      <w:r>
        <w:rPr>
          <w:b/>
          <w:color w:val="000000"/>
        </w:rPr>
        <w:t>2.</w:t>
      </w:r>
      <w:r>
        <w:rPr>
          <w:b/>
          <w:color w:val="000000"/>
        </w:rPr>
        <w:tab/>
        <w:t>ME</w:t>
      </w:r>
      <w:r w:rsidR="00F31809">
        <w:rPr>
          <w:b/>
          <w:color w:val="000000"/>
        </w:rPr>
        <w:t>TODE</w:t>
      </w:r>
      <w:r>
        <w:rPr>
          <w:b/>
          <w:color w:val="000000"/>
        </w:rPr>
        <w:t xml:space="preserve"> </w:t>
      </w:r>
    </w:p>
    <w:p w14:paraId="21E8FCA9" w14:textId="7E6A0C1C" w:rsidR="00F31809" w:rsidRPr="00043AB8" w:rsidRDefault="00F31809" w:rsidP="00792764">
      <w:pPr>
        <w:pStyle w:val="ListParagraph"/>
        <w:spacing w:line="276" w:lineRule="auto"/>
        <w:ind w:left="0" w:firstLine="567"/>
        <w:jc w:val="both"/>
      </w:pPr>
      <w:bookmarkStart w:id="1" w:name="_heading=h.30j0zll" w:colFirst="0" w:colLast="0"/>
      <w:bookmarkEnd w:id="1"/>
      <w:r>
        <w:t xml:space="preserve">Penelitian yang digunakan dalam hal ini menggunakan penelitian normatif dengan pendekatan studi kepustakaan melalui penelusuran berbagai sumber bacaan tertulis seperti bahan bacaan berupa buku, jurnal  dan juga seperangkat aturan dan regulasi hukum berkaitan dengan objek penelitian melalui pendekatan interdisipliner dengan menggabungkan perspektif dari disiplin ilmu ekonomi, hukum, psikologi dan keuangan dan fokus terhadap kajian yuridis sosiologi terhadap </w:t>
      </w:r>
      <w:r w:rsidRPr="00273F5D">
        <w:rPr>
          <w:i/>
          <w:iCs/>
        </w:rPr>
        <w:t>behavioral finance</w:t>
      </w:r>
      <w:r>
        <w:t xml:space="preserve"> terkait regulasi CSR dan Prinsip Investasi Bertanggung jawab dalam menyelidiki pengaruh persepsi risiko dan harapan imbal hasil di kalangan investor dilihat dari faktor psikologi, sosial, budaya dan bias-bias kognitif yang memengaruhi Keputusan investasi. Mengkaji secara komperhensif yuridis terkiat hubungan imbal hasil terhadap keputusan investasi dan regulasinya secara teoritis. </w:t>
      </w:r>
    </w:p>
    <w:p w14:paraId="023199C5" w14:textId="77777777" w:rsidR="00F31809" w:rsidRDefault="00F31809" w:rsidP="00F31809">
      <w:pPr>
        <w:spacing w:line="360" w:lineRule="auto"/>
        <w:jc w:val="both"/>
        <w:rPr>
          <w:b/>
          <w:bCs/>
        </w:rPr>
      </w:pPr>
    </w:p>
    <w:p w14:paraId="43E4BAC9" w14:textId="75E6E99E" w:rsidR="00F31809" w:rsidRPr="00A12F03" w:rsidRDefault="00F31809" w:rsidP="00680AD0">
      <w:pPr>
        <w:tabs>
          <w:tab w:val="left" w:pos="567"/>
        </w:tabs>
        <w:spacing w:line="276" w:lineRule="auto"/>
        <w:jc w:val="both"/>
        <w:rPr>
          <w:b/>
          <w:bCs/>
        </w:rPr>
      </w:pPr>
      <w:r>
        <w:rPr>
          <w:b/>
          <w:bCs/>
        </w:rPr>
        <w:t xml:space="preserve">2.1 </w:t>
      </w:r>
      <w:r w:rsidR="00680AD0">
        <w:rPr>
          <w:b/>
          <w:bCs/>
        </w:rPr>
        <w:tab/>
      </w:r>
      <w:r>
        <w:rPr>
          <w:b/>
          <w:bCs/>
        </w:rPr>
        <w:t>Tinjauan Pustaka</w:t>
      </w:r>
    </w:p>
    <w:p w14:paraId="38DE8EE8" w14:textId="77777777" w:rsidR="00F31809" w:rsidRDefault="00F31809" w:rsidP="00680AD0">
      <w:pPr>
        <w:pStyle w:val="ListParagraph"/>
        <w:spacing w:line="276" w:lineRule="auto"/>
        <w:ind w:left="0" w:firstLine="567"/>
        <w:jc w:val="both"/>
      </w:pPr>
      <w:r>
        <w:t xml:space="preserve">Kegiatan berinvestasi selalu diiringi dengan risiko baik itu risiko rendah ataupun tinggi yang merupakan disiplin berjalan beriringan dengan ekspektasi imbal hasil yang kemudian diterapkan dalam rangka memastikan keputusan investasi berdasar pada sebuah pemahaman yang baik terutama dalam investasi berkelanjutan. Risiko dan ekspektasi imbal hasil ini merupakan dua factor yang merujuk pada kemungkinan kehilangan nilai investasi atau pun merujuk pada tingkat imbal yang diharapkan. </w:t>
      </w:r>
      <w:r w:rsidRPr="000C38E3">
        <w:t xml:space="preserve">Menurut Tandio &amp; Widanaputra ekspektasi </w:t>
      </w:r>
      <w:r>
        <w:t xml:space="preserve">imbal hasil </w:t>
      </w:r>
      <w:r w:rsidRPr="000C38E3">
        <w:t>adalah hasil yang didapatkan dari adanya penempatan modal dalam instrumen investasi yang belum terwujud, dimana keuntungan pengembalianya diharapkan terjadi di masa depan. Harapan pengembalian dapat mempengaruhi suatu keputusan investasi investor.</w:t>
      </w:r>
    </w:p>
    <w:p w14:paraId="4D1D3B9D" w14:textId="3F419840" w:rsidR="00F31809" w:rsidRDefault="00F31809" w:rsidP="00680AD0">
      <w:pPr>
        <w:pStyle w:val="ListParagraph"/>
        <w:spacing w:line="276" w:lineRule="auto"/>
        <w:ind w:left="0" w:firstLine="360"/>
        <w:jc w:val="both"/>
      </w:pPr>
      <w:r w:rsidRPr="00B627FF">
        <w:t>Investasi berkelanjutan</w:t>
      </w:r>
      <w:r>
        <w:t xml:space="preserve"> atau investasi hijau</w:t>
      </w:r>
      <w:r w:rsidRPr="00B627FF">
        <w:t xml:space="preserve"> </w:t>
      </w:r>
      <w:r>
        <w:t xml:space="preserve">ini sendiri </w:t>
      </w:r>
      <w:r w:rsidRPr="00B627FF">
        <w:t>melibatkan investasi dengan tujuan atau makna yang berkelanjutan sepanjang waktu. Artinya, investasi dengan dampak positif bagi lingkungan dan masyarakat</w:t>
      </w:r>
      <w:r>
        <w:t>.  I</w:t>
      </w:r>
      <w:r w:rsidRPr="00C8520C">
        <w:t>nvestasi berkelanjutan telah dipercepat dan diharapkan pertumbuhannya akan eksponensial pada masa depan berkat peningkatan kesadaran tentang hal ini dan peningkatan regulasi di banyak negara.</w:t>
      </w:r>
      <w:r>
        <w:t xml:space="preserve"> Indonesia telah memberikan Gambaran mengenai realisasi seluruh investasi domestic dengan tabel 1</w:t>
      </w:r>
      <w:r w:rsidR="006668B5">
        <w:t>.</w:t>
      </w:r>
    </w:p>
    <w:p w14:paraId="02DFB949" w14:textId="075D7C8D" w:rsidR="00F31809" w:rsidRDefault="00F31809" w:rsidP="006668B5">
      <w:pPr>
        <w:pStyle w:val="ListParagraph"/>
        <w:spacing w:line="360" w:lineRule="auto"/>
        <w:ind w:left="0" w:firstLine="360"/>
        <w:jc w:val="center"/>
      </w:pPr>
      <w:r>
        <w:lastRenderedPageBreak/>
        <w:t>Tabel 1. Realisasi Investasi 2020-2025 Kementrian Investasi/BPKM</w:t>
      </w:r>
    </w:p>
    <w:tbl>
      <w:tblPr>
        <w:tblStyle w:val="GridTable4-Accent1"/>
        <w:tblW w:w="0" w:type="auto"/>
        <w:jc w:val="center"/>
        <w:tblLook w:val="04A0" w:firstRow="1" w:lastRow="0" w:firstColumn="1" w:lastColumn="0" w:noHBand="0" w:noVBand="1"/>
      </w:tblPr>
      <w:tblGrid>
        <w:gridCol w:w="486"/>
        <w:gridCol w:w="2486"/>
        <w:gridCol w:w="1134"/>
        <w:gridCol w:w="992"/>
        <w:gridCol w:w="993"/>
        <w:gridCol w:w="992"/>
        <w:gridCol w:w="992"/>
        <w:gridCol w:w="941"/>
      </w:tblGrid>
      <w:tr w:rsidR="00680AD0" w:rsidRPr="00680AD0" w14:paraId="0CA9D1C7" w14:textId="77777777" w:rsidTr="009067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vAlign w:val="center"/>
          </w:tcPr>
          <w:p w14:paraId="5BD3CC8E" w14:textId="77777777" w:rsidR="00F31809" w:rsidRPr="009067CF" w:rsidRDefault="00F31809" w:rsidP="009067CF">
            <w:pPr>
              <w:jc w:val="center"/>
              <w:rPr>
                <w:rFonts w:ascii="Times New Roman" w:hAnsi="Times New Roman" w:cs="Times New Roman"/>
                <w:sz w:val="20"/>
                <w:szCs w:val="20"/>
              </w:rPr>
            </w:pPr>
            <w:r w:rsidRPr="009067CF">
              <w:rPr>
                <w:rFonts w:ascii="Times New Roman" w:hAnsi="Times New Roman" w:cs="Times New Roman"/>
                <w:sz w:val="20"/>
                <w:szCs w:val="20"/>
              </w:rPr>
              <w:t>No</w:t>
            </w:r>
          </w:p>
        </w:tc>
        <w:tc>
          <w:tcPr>
            <w:tcW w:w="2486" w:type="dxa"/>
          </w:tcPr>
          <w:p w14:paraId="675B55C7" w14:textId="77777777" w:rsidR="00F31809" w:rsidRPr="009067CF" w:rsidRDefault="00F31809" w:rsidP="00680A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67CF">
              <w:rPr>
                <w:rFonts w:ascii="Times New Roman" w:hAnsi="Times New Roman" w:cs="Times New Roman"/>
                <w:sz w:val="20"/>
                <w:szCs w:val="20"/>
              </w:rPr>
              <w:t>Sasaran Strategi dan Indikator Kinerja Renstras BKPM 2020-2024</w:t>
            </w:r>
          </w:p>
        </w:tc>
        <w:tc>
          <w:tcPr>
            <w:tcW w:w="1134" w:type="dxa"/>
            <w:vAlign w:val="center"/>
          </w:tcPr>
          <w:p w14:paraId="35F69D3E" w14:textId="77777777" w:rsidR="00F31809" w:rsidRPr="009067CF" w:rsidRDefault="00F31809" w:rsidP="00680A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67CF">
              <w:rPr>
                <w:rFonts w:ascii="Times New Roman" w:hAnsi="Times New Roman" w:cs="Times New Roman"/>
                <w:sz w:val="20"/>
                <w:szCs w:val="20"/>
              </w:rPr>
              <w:t>Satuan</w:t>
            </w:r>
          </w:p>
        </w:tc>
        <w:tc>
          <w:tcPr>
            <w:tcW w:w="992" w:type="dxa"/>
            <w:vAlign w:val="center"/>
          </w:tcPr>
          <w:p w14:paraId="50FB2738" w14:textId="77777777" w:rsidR="00F31809" w:rsidRPr="009067CF" w:rsidRDefault="00F31809" w:rsidP="00680A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67CF">
              <w:rPr>
                <w:rFonts w:ascii="Times New Roman" w:hAnsi="Times New Roman" w:cs="Times New Roman"/>
                <w:sz w:val="20"/>
                <w:szCs w:val="20"/>
              </w:rPr>
              <w:t>2020</w:t>
            </w:r>
          </w:p>
        </w:tc>
        <w:tc>
          <w:tcPr>
            <w:tcW w:w="993" w:type="dxa"/>
            <w:vAlign w:val="center"/>
          </w:tcPr>
          <w:p w14:paraId="4E1C6510" w14:textId="77777777" w:rsidR="00F31809" w:rsidRPr="009067CF" w:rsidRDefault="00F31809" w:rsidP="00680A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67CF">
              <w:rPr>
                <w:rFonts w:ascii="Times New Roman" w:hAnsi="Times New Roman" w:cs="Times New Roman"/>
                <w:sz w:val="20"/>
                <w:szCs w:val="20"/>
              </w:rPr>
              <w:t>2021</w:t>
            </w:r>
          </w:p>
        </w:tc>
        <w:tc>
          <w:tcPr>
            <w:tcW w:w="992" w:type="dxa"/>
            <w:vAlign w:val="center"/>
          </w:tcPr>
          <w:p w14:paraId="325DE8DC" w14:textId="77777777" w:rsidR="00F31809" w:rsidRPr="009067CF" w:rsidRDefault="00F31809" w:rsidP="00680A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67CF">
              <w:rPr>
                <w:rFonts w:ascii="Times New Roman" w:hAnsi="Times New Roman" w:cs="Times New Roman"/>
                <w:sz w:val="20"/>
                <w:szCs w:val="20"/>
              </w:rPr>
              <w:t>2022</w:t>
            </w:r>
          </w:p>
        </w:tc>
        <w:tc>
          <w:tcPr>
            <w:tcW w:w="992" w:type="dxa"/>
            <w:vAlign w:val="center"/>
          </w:tcPr>
          <w:p w14:paraId="57BB15CA" w14:textId="77777777" w:rsidR="00F31809" w:rsidRPr="009067CF" w:rsidRDefault="00F31809" w:rsidP="00680A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67CF">
              <w:rPr>
                <w:rFonts w:ascii="Times New Roman" w:hAnsi="Times New Roman" w:cs="Times New Roman"/>
                <w:sz w:val="20"/>
                <w:szCs w:val="20"/>
              </w:rPr>
              <w:t>2023</w:t>
            </w:r>
          </w:p>
        </w:tc>
        <w:tc>
          <w:tcPr>
            <w:tcW w:w="941" w:type="dxa"/>
            <w:vAlign w:val="center"/>
          </w:tcPr>
          <w:p w14:paraId="3F3FC65E" w14:textId="77777777" w:rsidR="00F31809" w:rsidRPr="009067CF" w:rsidRDefault="00F31809" w:rsidP="00680A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67CF">
              <w:rPr>
                <w:rFonts w:ascii="Times New Roman" w:hAnsi="Times New Roman" w:cs="Times New Roman"/>
                <w:sz w:val="20"/>
                <w:szCs w:val="20"/>
              </w:rPr>
              <w:t>2024</w:t>
            </w:r>
          </w:p>
        </w:tc>
      </w:tr>
      <w:tr w:rsidR="00680AD0" w:rsidRPr="00680AD0" w14:paraId="408C9F97" w14:textId="77777777" w:rsidTr="006668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tcPr>
          <w:p w14:paraId="69E179A9" w14:textId="77777777" w:rsidR="00F31809" w:rsidRPr="00680AD0" w:rsidRDefault="00F31809" w:rsidP="002A73FA">
            <w:pPr>
              <w:jc w:val="center"/>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1</w:t>
            </w:r>
          </w:p>
        </w:tc>
        <w:tc>
          <w:tcPr>
            <w:tcW w:w="2486" w:type="dxa"/>
          </w:tcPr>
          <w:p w14:paraId="0A053558" w14:textId="77777777" w:rsidR="00F31809" w:rsidRPr="00680AD0" w:rsidRDefault="00F31809" w:rsidP="002A73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Nilai resalisasi penanaman modal</w:t>
            </w:r>
          </w:p>
        </w:tc>
        <w:tc>
          <w:tcPr>
            <w:tcW w:w="1134" w:type="dxa"/>
          </w:tcPr>
          <w:p w14:paraId="04DC287F" w14:textId="77777777" w:rsidR="00F31809" w:rsidRPr="00680AD0" w:rsidRDefault="00F31809" w:rsidP="002A73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Rp triliun</w:t>
            </w:r>
          </w:p>
        </w:tc>
        <w:tc>
          <w:tcPr>
            <w:tcW w:w="992" w:type="dxa"/>
          </w:tcPr>
          <w:p w14:paraId="0D0A341B" w14:textId="77777777" w:rsidR="00F31809" w:rsidRPr="00680AD0" w:rsidRDefault="00F31809" w:rsidP="002A73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817,2</w:t>
            </w:r>
          </w:p>
        </w:tc>
        <w:tc>
          <w:tcPr>
            <w:tcW w:w="993" w:type="dxa"/>
          </w:tcPr>
          <w:p w14:paraId="5B7DAA7A" w14:textId="77777777" w:rsidR="00F31809" w:rsidRPr="00680AD0" w:rsidRDefault="00F31809" w:rsidP="002A73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858,5</w:t>
            </w:r>
          </w:p>
        </w:tc>
        <w:tc>
          <w:tcPr>
            <w:tcW w:w="992" w:type="dxa"/>
          </w:tcPr>
          <w:p w14:paraId="7F01ECC6" w14:textId="77777777" w:rsidR="00F31809" w:rsidRPr="00680AD0" w:rsidRDefault="00F31809" w:rsidP="002A73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968,4</w:t>
            </w:r>
          </w:p>
        </w:tc>
        <w:tc>
          <w:tcPr>
            <w:tcW w:w="992" w:type="dxa"/>
          </w:tcPr>
          <w:p w14:paraId="07E55BB3" w14:textId="77777777" w:rsidR="00F31809" w:rsidRPr="00680AD0" w:rsidRDefault="00F31809" w:rsidP="002A73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1.099,8</w:t>
            </w:r>
          </w:p>
        </w:tc>
        <w:tc>
          <w:tcPr>
            <w:tcW w:w="941" w:type="dxa"/>
          </w:tcPr>
          <w:p w14:paraId="04FB8792" w14:textId="77777777" w:rsidR="00F31809" w:rsidRPr="00680AD0" w:rsidRDefault="00F31809" w:rsidP="002A73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1.239,3</w:t>
            </w:r>
          </w:p>
        </w:tc>
      </w:tr>
      <w:tr w:rsidR="00680AD0" w:rsidRPr="00680AD0" w14:paraId="564052C1" w14:textId="77777777" w:rsidTr="006668B5">
        <w:trPr>
          <w:jc w:val="center"/>
        </w:trPr>
        <w:tc>
          <w:tcPr>
            <w:cnfStyle w:val="001000000000" w:firstRow="0" w:lastRow="0" w:firstColumn="1" w:lastColumn="0" w:oddVBand="0" w:evenVBand="0" w:oddHBand="0" w:evenHBand="0" w:firstRowFirstColumn="0" w:firstRowLastColumn="0" w:lastRowFirstColumn="0" w:lastRowLastColumn="0"/>
            <w:tcW w:w="486" w:type="dxa"/>
          </w:tcPr>
          <w:p w14:paraId="6DD33C7E" w14:textId="77777777" w:rsidR="00F31809" w:rsidRPr="00680AD0" w:rsidRDefault="00F31809" w:rsidP="002A73FA">
            <w:pPr>
              <w:jc w:val="center"/>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2</w:t>
            </w:r>
          </w:p>
        </w:tc>
        <w:tc>
          <w:tcPr>
            <w:tcW w:w="2486" w:type="dxa"/>
          </w:tcPr>
          <w:p w14:paraId="5BC4A967" w14:textId="77777777" w:rsidR="00F31809" w:rsidRPr="00680AD0" w:rsidRDefault="00F31809" w:rsidP="002A73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Nilai realisasi penanaman modal sektor sekunder</w:t>
            </w:r>
          </w:p>
        </w:tc>
        <w:tc>
          <w:tcPr>
            <w:tcW w:w="1134" w:type="dxa"/>
          </w:tcPr>
          <w:p w14:paraId="22A3C962" w14:textId="77777777" w:rsidR="00F31809" w:rsidRPr="00680AD0" w:rsidRDefault="00F31809" w:rsidP="002A7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Rp Triliun</w:t>
            </w:r>
          </w:p>
        </w:tc>
        <w:tc>
          <w:tcPr>
            <w:tcW w:w="992" w:type="dxa"/>
          </w:tcPr>
          <w:p w14:paraId="00717CD6" w14:textId="77777777" w:rsidR="00F31809" w:rsidRPr="00680AD0" w:rsidRDefault="00F31809" w:rsidP="002A7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227,2</w:t>
            </w:r>
          </w:p>
        </w:tc>
        <w:tc>
          <w:tcPr>
            <w:tcW w:w="993" w:type="dxa"/>
          </w:tcPr>
          <w:p w14:paraId="1CCED51E" w14:textId="77777777" w:rsidR="00F31809" w:rsidRPr="00680AD0" w:rsidRDefault="00F31809" w:rsidP="002A7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268,7</w:t>
            </w:r>
          </w:p>
        </w:tc>
        <w:tc>
          <w:tcPr>
            <w:tcW w:w="992" w:type="dxa"/>
          </w:tcPr>
          <w:p w14:paraId="45D29C4B" w14:textId="77777777" w:rsidR="00F31809" w:rsidRPr="00680AD0" w:rsidRDefault="00F31809" w:rsidP="002A7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325,5</w:t>
            </w:r>
          </w:p>
        </w:tc>
        <w:tc>
          <w:tcPr>
            <w:tcW w:w="992" w:type="dxa"/>
          </w:tcPr>
          <w:p w14:paraId="3BC2B7A9" w14:textId="77777777" w:rsidR="00F31809" w:rsidRPr="00680AD0" w:rsidRDefault="00F31809" w:rsidP="002A7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483,9</w:t>
            </w:r>
          </w:p>
        </w:tc>
        <w:tc>
          <w:tcPr>
            <w:tcW w:w="941" w:type="dxa"/>
          </w:tcPr>
          <w:p w14:paraId="380C986D" w14:textId="77777777" w:rsidR="00F31809" w:rsidRPr="00680AD0" w:rsidRDefault="00F31809" w:rsidP="002A7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646,1</w:t>
            </w:r>
          </w:p>
        </w:tc>
      </w:tr>
      <w:tr w:rsidR="00680AD0" w:rsidRPr="00680AD0" w14:paraId="5433F382" w14:textId="77777777" w:rsidTr="006668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tcPr>
          <w:p w14:paraId="7CB3A90D" w14:textId="77777777" w:rsidR="00F31809" w:rsidRPr="00680AD0" w:rsidRDefault="00F31809" w:rsidP="002A73FA">
            <w:pPr>
              <w:jc w:val="center"/>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3</w:t>
            </w:r>
          </w:p>
        </w:tc>
        <w:tc>
          <w:tcPr>
            <w:tcW w:w="2486" w:type="dxa"/>
          </w:tcPr>
          <w:p w14:paraId="136949FE" w14:textId="77777777" w:rsidR="00F31809" w:rsidRPr="00680AD0" w:rsidRDefault="00F31809" w:rsidP="002A73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Sebaran penanaman modal berkualitas (di luar Jawa)</w:t>
            </w:r>
          </w:p>
        </w:tc>
        <w:tc>
          <w:tcPr>
            <w:tcW w:w="1134" w:type="dxa"/>
          </w:tcPr>
          <w:p w14:paraId="494848E6" w14:textId="77777777" w:rsidR="00F31809" w:rsidRPr="00680AD0" w:rsidRDefault="00F31809" w:rsidP="002A73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w:t>
            </w:r>
          </w:p>
        </w:tc>
        <w:tc>
          <w:tcPr>
            <w:tcW w:w="992" w:type="dxa"/>
          </w:tcPr>
          <w:p w14:paraId="75217F29" w14:textId="77777777" w:rsidR="00F31809" w:rsidRPr="00680AD0" w:rsidRDefault="00F31809" w:rsidP="002A73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48,3</w:t>
            </w:r>
          </w:p>
        </w:tc>
        <w:tc>
          <w:tcPr>
            <w:tcW w:w="993" w:type="dxa"/>
          </w:tcPr>
          <w:p w14:paraId="21183F68" w14:textId="77777777" w:rsidR="00F31809" w:rsidRPr="00680AD0" w:rsidRDefault="00F31809" w:rsidP="002A73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49,0</w:t>
            </w:r>
          </w:p>
        </w:tc>
        <w:tc>
          <w:tcPr>
            <w:tcW w:w="992" w:type="dxa"/>
          </w:tcPr>
          <w:p w14:paraId="3A4547D5" w14:textId="77777777" w:rsidR="00F31809" w:rsidRPr="00680AD0" w:rsidRDefault="00F31809" w:rsidP="002A73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49,7</w:t>
            </w:r>
          </w:p>
        </w:tc>
        <w:tc>
          <w:tcPr>
            <w:tcW w:w="992" w:type="dxa"/>
          </w:tcPr>
          <w:p w14:paraId="0EE1820F" w14:textId="77777777" w:rsidR="00F31809" w:rsidRPr="00680AD0" w:rsidRDefault="00F31809" w:rsidP="002A73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50,6</w:t>
            </w:r>
          </w:p>
        </w:tc>
        <w:tc>
          <w:tcPr>
            <w:tcW w:w="941" w:type="dxa"/>
          </w:tcPr>
          <w:p w14:paraId="7C473E74" w14:textId="77777777" w:rsidR="00F31809" w:rsidRPr="00680AD0" w:rsidRDefault="00F31809" w:rsidP="002A73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51,7</w:t>
            </w:r>
          </w:p>
        </w:tc>
      </w:tr>
      <w:tr w:rsidR="00680AD0" w:rsidRPr="00680AD0" w14:paraId="52210A7B" w14:textId="77777777" w:rsidTr="006668B5">
        <w:trPr>
          <w:jc w:val="center"/>
        </w:trPr>
        <w:tc>
          <w:tcPr>
            <w:cnfStyle w:val="001000000000" w:firstRow="0" w:lastRow="0" w:firstColumn="1" w:lastColumn="0" w:oddVBand="0" w:evenVBand="0" w:oddHBand="0" w:evenHBand="0" w:firstRowFirstColumn="0" w:firstRowLastColumn="0" w:lastRowFirstColumn="0" w:lastRowLastColumn="0"/>
            <w:tcW w:w="486" w:type="dxa"/>
          </w:tcPr>
          <w:p w14:paraId="6811965E" w14:textId="77777777" w:rsidR="00F31809" w:rsidRPr="00680AD0" w:rsidRDefault="00F31809" w:rsidP="002A73FA">
            <w:pPr>
              <w:jc w:val="center"/>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4</w:t>
            </w:r>
          </w:p>
        </w:tc>
        <w:tc>
          <w:tcPr>
            <w:tcW w:w="2486" w:type="dxa"/>
          </w:tcPr>
          <w:p w14:paraId="05C293AE" w14:textId="77777777" w:rsidR="00F31809" w:rsidRPr="00680AD0" w:rsidRDefault="00F31809" w:rsidP="002A73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Kontribusi Investasi dalam negeri/PMDN termasuk UMKM</w:t>
            </w:r>
          </w:p>
        </w:tc>
        <w:tc>
          <w:tcPr>
            <w:tcW w:w="1134" w:type="dxa"/>
          </w:tcPr>
          <w:p w14:paraId="14A83389" w14:textId="77777777" w:rsidR="00F31809" w:rsidRPr="00680AD0" w:rsidRDefault="00F31809" w:rsidP="002A7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w:t>
            </w:r>
          </w:p>
        </w:tc>
        <w:tc>
          <w:tcPr>
            <w:tcW w:w="992" w:type="dxa"/>
          </w:tcPr>
          <w:p w14:paraId="13CDC086" w14:textId="77777777" w:rsidR="00F31809" w:rsidRPr="00680AD0" w:rsidRDefault="00F31809" w:rsidP="002A7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48,8</w:t>
            </w:r>
          </w:p>
        </w:tc>
        <w:tc>
          <w:tcPr>
            <w:tcW w:w="993" w:type="dxa"/>
          </w:tcPr>
          <w:p w14:paraId="575F9F88" w14:textId="77777777" w:rsidR="00F31809" w:rsidRPr="00680AD0" w:rsidRDefault="00F31809" w:rsidP="002A7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49,7</w:t>
            </w:r>
          </w:p>
        </w:tc>
        <w:tc>
          <w:tcPr>
            <w:tcW w:w="992" w:type="dxa"/>
          </w:tcPr>
          <w:p w14:paraId="0A780FDB" w14:textId="77777777" w:rsidR="00F31809" w:rsidRPr="00680AD0" w:rsidRDefault="00F31809" w:rsidP="002A7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50,3</w:t>
            </w:r>
          </w:p>
        </w:tc>
        <w:tc>
          <w:tcPr>
            <w:tcW w:w="992" w:type="dxa"/>
          </w:tcPr>
          <w:p w14:paraId="3B050A2B" w14:textId="77777777" w:rsidR="00F31809" w:rsidRPr="00680AD0" w:rsidRDefault="00F31809" w:rsidP="002A7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51,9</w:t>
            </w:r>
          </w:p>
        </w:tc>
        <w:tc>
          <w:tcPr>
            <w:tcW w:w="941" w:type="dxa"/>
          </w:tcPr>
          <w:p w14:paraId="4B63E3A5" w14:textId="77777777" w:rsidR="00F31809" w:rsidRPr="00680AD0" w:rsidRDefault="00F31809" w:rsidP="002A7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80AD0">
              <w:rPr>
                <w:rFonts w:ascii="Times New Roman" w:hAnsi="Times New Roman" w:cs="Times New Roman"/>
                <w:color w:val="000000" w:themeColor="text1"/>
                <w:sz w:val="20"/>
                <w:szCs w:val="20"/>
              </w:rPr>
              <w:t>53,1</w:t>
            </w:r>
          </w:p>
        </w:tc>
      </w:tr>
    </w:tbl>
    <w:p w14:paraId="70DA0457" w14:textId="60DF30CF" w:rsidR="00F31809" w:rsidRPr="006668B5" w:rsidRDefault="00F31809" w:rsidP="006668B5">
      <w:pPr>
        <w:tabs>
          <w:tab w:val="left" w:pos="6088"/>
        </w:tabs>
        <w:jc w:val="both"/>
        <w:rPr>
          <w:sz w:val="18"/>
          <w:szCs w:val="18"/>
        </w:rPr>
      </w:pPr>
      <w:r w:rsidRPr="006668B5">
        <w:rPr>
          <w:sz w:val="18"/>
          <w:szCs w:val="18"/>
        </w:rPr>
        <w:t xml:space="preserve">Sesuai rencana kerja pemerintah tahun 2024, target realisasi investasi tahun 2024 adalah Rp.1.450-Rp. 1.650 Triliun, </w:t>
      </w:r>
    </w:p>
    <w:p w14:paraId="76E570B1" w14:textId="77777777" w:rsidR="00F31809" w:rsidRPr="006668B5" w:rsidRDefault="00F31809" w:rsidP="006668B5">
      <w:pPr>
        <w:jc w:val="both"/>
        <w:rPr>
          <w:sz w:val="18"/>
          <w:szCs w:val="18"/>
        </w:rPr>
      </w:pPr>
      <w:r w:rsidRPr="006668B5">
        <w:rPr>
          <w:sz w:val="18"/>
          <w:szCs w:val="18"/>
        </w:rPr>
        <w:t>Sesuai rancangan kerja pemerintah tahun 2025, target realisasi investasi tahun 2025 adalah Rp. 1.868,2-1.905,6 Triliun.</w:t>
      </w:r>
    </w:p>
    <w:p w14:paraId="5B213680" w14:textId="77777777" w:rsidR="00F31809" w:rsidRPr="004711AE" w:rsidRDefault="00F31809" w:rsidP="00F31809">
      <w:pPr>
        <w:jc w:val="both"/>
      </w:pPr>
    </w:p>
    <w:p w14:paraId="2434C49D" w14:textId="2AADB487" w:rsidR="00F31809" w:rsidRDefault="00F31809" w:rsidP="009067CF">
      <w:pPr>
        <w:pStyle w:val="ListParagraph"/>
        <w:spacing w:line="276" w:lineRule="auto"/>
        <w:ind w:left="0" w:firstLine="567"/>
        <w:jc w:val="both"/>
      </w:pPr>
      <w:r>
        <w:t xml:space="preserve">Menimbang besarnya pengaruh investasi yang terus menerus berkembang maka pendekatan </w:t>
      </w:r>
      <w:r>
        <w:rPr>
          <w:i/>
          <w:iCs/>
        </w:rPr>
        <w:t>Behavioral Finance</w:t>
      </w:r>
      <w:r>
        <w:t xml:space="preserve"> mengenali risiko dan imbal hasil dalam langkah-langkah keputusan investasi. </w:t>
      </w:r>
      <w:r>
        <w:rPr>
          <w:i/>
          <w:iCs/>
        </w:rPr>
        <w:t>Behavioral Finance</w:t>
      </w:r>
      <w:r>
        <w:t xml:space="preserve"> merupakan investigasi efek psikologi pada perilaku investor</w:t>
      </w:r>
      <w:r w:rsidR="00481458">
        <w:t xml:space="preserve"> [10]. </w:t>
      </w:r>
      <w:r>
        <w:t xml:space="preserve">Pendekatan ini menekankan bahwa perilaku investor dipengaruhi oleh peristiwa global, topik pemberitaan dan preferensi pribadi yang tidak dapat diprediksi dan dihindari. Secara keseluruhannya berbeda dengan teori keuangan tradisional yang menggunakan pendekatan pelaku diasumsikan sebagai penerima informasi yang relevan, efisien dan tidak bias dan keputusan investasi mereka dianggap konsisten dengan utilitas yang maksimal. </w:t>
      </w:r>
      <w:r>
        <w:rPr>
          <w:i/>
          <w:iCs/>
        </w:rPr>
        <w:t>Behavioral Finance</w:t>
      </w:r>
      <w:r>
        <w:t xml:space="preserve"> didasarkan pada teori-teori alternatif yang tunduk terhadap bias perilaku yang dimaknai mampu mempengaruhi cara investor memandang dunia dan membuat keputusan investasi. </w:t>
      </w:r>
    </w:p>
    <w:p w14:paraId="17677508" w14:textId="77777777" w:rsidR="00F31809" w:rsidRDefault="00F31809" w:rsidP="009067CF">
      <w:pPr>
        <w:pStyle w:val="ListParagraph"/>
        <w:spacing w:line="276" w:lineRule="auto"/>
        <w:ind w:left="0" w:firstLine="360"/>
        <w:jc w:val="both"/>
      </w:pPr>
      <w:r>
        <w:t>Dalam literatur psikologi bias perilaku menjadi faktor penentu risiko dan imbal hasil dalam keputusan investasi yang dikelompokkan menjadi dua kategori besar, yakni :</w:t>
      </w:r>
    </w:p>
    <w:p w14:paraId="77017E02" w14:textId="2284A241" w:rsidR="00F31809" w:rsidRDefault="00F31809" w:rsidP="009067CF">
      <w:pPr>
        <w:pStyle w:val="ListParagraph"/>
        <w:numPr>
          <w:ilvl w:val="0"/>
          <w:numId w:val="35"/>
        </w:numPr>
        <w:spacing w:after="160" w:line="276" w:lineRule="auto"/>
        <w:jc w:val="both"/>
      </w:pPr>
      <w:r w:rsidRPr="00B276D6">
        <w:rPr>
          <w:i/>
          <w:iCs/>
        </w:rPr>
        <w:t>Cognitive Bias</w:t>
      </w:r>
      <w:r>
        <w:t>, yang berasal dari pemikiran bertindak untuk menyederhanakan dan mempercepat pengambilan keputusan dengan membuat jalan pintas. Hal ini dapat menyebabkan kesalahan dalam penilaian Ketika realitas yang dibangun oleh pemikiran bertentangan dengan informasi objektif</w:t>
      </w:r>
      <w:r w:rsidR="00C21511">
        <w:t xml:space="preserve"> [11].</w:t>
      </w:r>
    </w:p>
    <w:p w14:paraId="0F4C0538" w14:textId="330E5255" w:rsidR="00F31809" w:rsidRPr="00A12F03" w:rsidRDefault="00F31809" w:rsidP="009067CF">
      <w:pPr>
        <w:pStyle w:val="ListParagraph"/>
        <w:numPr>
          <w:ilvl w:val="0"/>
          <w:numId w:val="35"/>
        </w:numPr>
        <w:spacing w:after="160" w:line="276" w:lineRule="auto"/>
        <w:jc w:val="both"/>
      </w:pPr>
      <w:r w:rsidRPr="00B276D6">
        <w:rPr>
          <w:i/>
          <w:iCs/>
        </w:rPr>
        <w:t>Emotional Bias</w:t>
      </w:r>
      <w:r>
        <w:t>, yakni tendensi untuk mempercayai informasi atau memutuskan berdasarkan perasaaan daripada akibat secara objektif</w:t>
      </w:r>
      <w:r w:rsidR="00C21511">
        <w:t xml:space="preserve"> [12].</w:t>
      </w:r>
    </w:p>
    <w:p w14:paraId="6B892A21" w14:textId="77777777" w:rsidR="005E5C2F" w:rsidRDefault="005E5C2F" w:rsidP="005E5C2F">
      <w:pPr>
        <w:pStyle w:val="ListParagraph"/>
        <w:spacing w:line="276" w:lineRule="auto"/>
        <w:ind w:left="0"/>
        <w:jc w:val="both"/>
      </w:pPr>
    </w:p>
    <w:p w14:paraId="7270FDCC" w14:textId="08221D44" w:rsidR="00F31809" w:rsidRDefault="005E5C2F" w:rsidP="005E5C2F">
      <w:pPr>
        <w:pStyle w:val="ListParagraph"/>
        <w:tabs>
          <w:tab w:val="left" w:pos="567"/>
        </w:tabs>
        <w:spacing w:line="276" w:lineRule="auto"/>
        <w:ind w:left="0"/>
        <w:jc w:val="both"/>
      </w:pPr>
      <w:r>
        <w:tab/>
      </w:r>
      <w:r w:rsidR="00F31809">
        <w:t>Beberapa hal yang umum terjadi akibat Cognitive Bias dan Emotional Bias ini  mempengaruhi  proses pengambilan keputusan investasi, seperti :</w:t>
      </w:r>
    </w:p>
    <w:p w14:paraId="73C56DBF" w14:textId="1E11683C" w:rsidR="00F31809" w:rsidRDefault="00F31809" w:rsidP="009067CF">
      <w:pPr>
        <w:pStyle w:val="ListParagraph"/>
        <w:numPr>
          <w:ilvl w:val="0"/>
          <w:numId w:val="36"/>
        </w:numPr>
        <w:spacing w:line="276" w:lineRule="auto"/>
        <w:jc w:val="both"/>
      </w:pPr>
      <w:r>
        <w:rPr>
          <w:i/>
          <w:iCs/>
        </w:rPr>
        <w:t>Confirmation Bias</w:t>
      </w:r>
      <w:r>
        <w:t>, yakni kecenderungan untuk mencari informasi yang mendukung, dengan menginterpretasikan bukti untuk memvalidasi keyakinan yang sudah ada dan menolak atau mengabaikan data yang bertentangan</w:t>
      </w:r>
      <w:r w:rsidR="00D36C98">
        <w:t xml:space="preserve"> [13].</w:t>
      </w:r>
    </w:p>
    <w:p w14:paraId="78103524" w14:textId="77777777" w:rsidR="00F31809" w:rsidRDefault="00F31809" w:rsidP="009067CF">
      <w:pPr>
        <w:pStyle w:val="ListParagraph"/>
        <w:numPr>
          <w:ilvl w:val="0"/>
          <w:numId w:val="36"/>
        </w:numPr>
        <w:spacing w:line="276" w:lineRule="auto"/>
        <w:jc w:val="both"/>
      </w:pPr>
      <w:r>
        <w:rPr>
          <w:i/>
          <w:iCs/>
        </w:rPr>
        <w:t xml:space="preserve">Loss Aversion Bias, </w:t>
      </w:r>
      <w:r>
        <w:t>yakni konsep yang mengacu perilaku menghindari kerugian daripada keuntungan yang setara. Dimana perasaan sakit saat mengalami kerugian ini lebih akut daripada keuntungan yang setara.</w:t>
      </w:r>
      <w:r>
        <w:rPr>
          <w:i/>
          <w:iCs/>
        </w:rPr>
        <w:t xml:space="preserve"> </w:t>
      </w:r>
      <w:r>
        <w:t xml:space="preserve"> </w:t>
      </w:r>
    </w:p>
    <w:p w14:paraId="20D3908E" w14:textId="5C7F389B" w:rsidR="00F31809" w:rsidRPr="004B7F8E" w:rsidRDefault="00F31809" w:rsidP="009067CF">
      <w:pPr>
        <w:pStyle w:val="ListParagraph"/>
        <w:numPr>
          <w:ilvl w:val="0"/>
          <w:numId w:val="36"/>
        </w:numPr>
        <w:spacing w:line="276" w:lineRule="auto"/>
        <w:jc w:val="both"/>
      </w:pPr>
      <w:r>
        <w:rPr>
          <w:i/>
          <w:iCs/>
        </w:rPr>
        <w:t xml:space="preserve">Overconfidence Bias, </w:t>
      </w:r>
      <w:r>
        <w:t xml:space="preserve">yakni kecenderungan seseorang untuk melebih-lebihkan kemampuan dan keakuratan prediksi mereka yang berdampak signifikan pada </w:t>
      </w:r>
      <w:r>
        <w:lastRenderedPageBreak/>
        <w:t>pengambilan keputusan terutama pada pengambilan keputusan, pengetahuan atau kinerja dalam bidang investasi atau keuangan</w:t>
      </w:r>
      <w:r w:rsidR="003729EC">
        <w:t xml:space="preserve"> [14].</w:t>
      </w:r>
    </w:p>
    <w:p w14:paraId="6F5D4F68" w14:textId="5F0FD49E" w:rsidR="00F31809" w:rsidRPr="004B7F8E" w:rsidRDefault="00F31809" w:rsidP="009067CF">
      <w:pPr>
        <w:pStyle w:val="ListParagraph"/>
        <w:numPr>
          <w:ilvl w:val="0"/>
          <w:numId w:val="36"/>
        </w:numPr>
        <w:spacing w:line="276" w:lineRule="auto"/>
        <w:jc w:val="both"/>
      </w:pPr>
      <w:r>
        <w:rPr>
          <w:i/>
          <w:iCs/>
        </w:rPr>
        <w:t xml:space="preserve">Recency Bias, </w:t>
      </w:r>
      <w:r>
        <w:t>yakni kecenderungan untuk terlalu menekankan pada pengalamam yang paling segar dalam ingatan bahka jika itu tidak relevan ataupun tidak dapat diandalkan</w:t>
      </w:r>
      <w:r w:rsidR="00C35B5C">
        <w:t xml:space="preserve"> [15].</w:t>
      </w:r>
    </w:p>
    <w:p w14:paraId="69BC2EFB" w14:textId="77777777" w:rsidR="00F31809" w:rsidRPr="004B7F8E" w:rsidRDefault="00F31809" w:rsidP="009067CF">
      <w:pPr>
        <w:pStyle w:val="ListParagraph"/>
        <w:numPr>
          <w:ilvl w:val="0"/>
          <w:numId w:val="36"/>
        </w:numPr>
        <w:spacing w:line="276" w:lineRule="auto"/>
        <w:jc w:val="both"/>
      </w:pPr>
      <w:r>
        <w:rPr>
          <w:i/>
          <w:iCs/>
        </w:rPr>
        <w:t xml:space="preserve">Anchory Bias, </w:t>
      </w:r>
      <w:r>
        <w:t>yakni kondisi seseorang lebih menyukai informasi yang diterima pada awal proses pengambilan keputusan sebagai titik referensi dan gagal menyesuaikan kesan awal dengan informasi tambahan yang diterima</w:t>
      </w:r>
    </w:p>
    <w:p w14:paraId="73634A18" w14:textId="77777777" w:rsidR="00F31809" w:rsidRDefault="00F31809" w:rsidP="009067CF">
      <w:pPr>
        <w:pStyle w:val="ListParagraph"/>
        <w:numPr>
          <w:ilvl w:val="0"/>
          <w:numId w:val="36"/>
        </w:numPr>
        <w:spacing w:line="276" w:lineRule="auto"/>
        <w:jc w:val="both"/>
      </w:pPr>
      <w:r>
        <w:rPr>
          <w:i/>
          <w:iCs/>
        </w:rPr>
        <w:t xml:space="preserve">Herd Mentality Bias, </w:t>
      </w:r>
      <w:r>
        <w:t>yakni kecenderungan bekerja dalam kelompok dan tidak ingin melawan consensus umum dengan anggapan satu investor yang memiliki informasi cukup membuat keputusan dengan asumsi investor tersebut yang paling mengerti.</w:t>
      </w:r>
    </w:p>
    <w:p w14:paraId="10A6E33D" w14:textId="53F86188" w:rsidR="008C6B3A" w:rsidRDefault="00F31809" w:rsidP="009067CF">
      <w:pPr>
        <w:tabs>
          <w:tab w:val="left" w:pos="567"/>
        </w:tabs>
        <w:spacing w:line="276" w:lineRule="auto"/>
        <w:jc w:val="both"/>
      </w:pPr>
      <w:r w:rsidRPr="00B276D6">
        <w:rPr>
          <w:i/>
          <w:iCs/>
        </w:rPr>
        <w:t xml:space="preserve">Ambiguity Aversion Bias, </w:t>
      </w:r>
      <w:r w:rsidRPr="00B276D6">
        <w:t xml:space="preserve">yakni kecenderungan individu untuk lebih memilihi </w:t>
      </w:r>
      <w:r>
        <w:t>risiko</w:t>
      </w:r>
      <w:r w:rsidRPr="00B276D6">
        <w:t xml:space="preserve"> yang diketahui daripada </w:t>
      </w:r>
      <w:r>
        <w:t>risiko</w:t>
      </w:r>
      <w:r w:rsidRPr="00B276D6">
        <w:t xml:space="preserve"> yang ambigu sehingga investor lebih nyaman dengan hal-hal yang dapat diprediksi dan menghindari peluang dengan hasil yang mungkin saja lebih maksimal</w:t>
      </w:r>
      <w:r w:rsidR="00E5765C">
        <w:t>.</w:t>
      </w:r>
    </w:p>
    <w:p w14:paraId="579A5DFF" w14:textId="77777777" w:rsidR="008C6B3A" w:rsidRPr="00F63EDF" w:rsidRDefault="008C6B3A" w:rsidP="009067CF">
      <w:pPr>
        <w:tabs>
          <w:tab w:val="left" w:pos="567"/>
        </w:tabs>
        <w:spacing w:line="276" w:lineRule="auto"/>
        <w:jc w:val="both"/>
      </w:pPr>
    </w:p>
    <w:p w14:paraId="78B76C90" w14:textId="77777777" w:rsidR="006940AD" w:rsidRDefault="00DB2D64" w:rsidP="00A243FF">
      <w:pPr>
        <w:pBdr>
          <w:top w:val="nil"/>
          <w:left w:val="nil"/>
          <w:bottom w:val="nil"/>
          <w:right w:val="nil"/>
          <w:between w:val="nil"/>
        </w:pBdr>
        <w:tabs>
          <w:tab w:val="left" w:pos="567"/>
        </w:tabs>
        <w:spacing w:line="276" w:lineRule="auto"/>
        <w:rPr>
          <w:b/>
        </w:rPr>
      </w:pPr>
      <w:r>
        <w:rPr>
          <w:b/>
        </w:rPr>
        <w:t>3.</w:t>
      </w:r>
      <w:r>
        <w:rPr>
          <w:b/>
        </w:rPr>
        <w:tab/>
        <w:t xml:space="preserve">HASIL DAN PEMBAHASAN </w:t>
      </w:r>
    </w:p>
    <w:p w14:paraId="6A9D05A2" w14:textId="0D4FF79B" w:rsidR="00F31809" w:rsidRDefault="00F31809" w:rsidP="005E5C2F">
      <w:pPr>
        <w:pStyle w:val="ListParagraph"/>
        <w:numPr>
          <w:ilvl w:val="0"/>
          <w:numId w:val="37"/>
        </w:numPr>
        <w:spacing w:after="160" w:line="276" w:lineRule="auto"/>
        <w:ind w:left="851" w:hanging="283"/>
        <w:jc w:val="both"/>
      </w:pPr>
      <w:r>
        <w:t>H</w:t>
      </w:r>
      <w:r w:rsidRPr="007C26FB">
        <w:t xml:space="preserve">ubungan antara </w:t>
      </w:r>
      <w:r>
        <w:t xml:space="preserve">risiko, </w:t>
      </w:r>
      <w:r w:rsidRPr="007C26FB">
        <w:t xml:space="preserve">ekspektasi imbal hasil </w:t>
      </w:r>
      <w:r>
        <w:t xml:space="preserve">dengan </w:t>
      </w:r>
      <w:r w:rsidRPr="007C26FB">
        <w:t>menggunakan pendekatan behavioral finance</w:t>
      </w:r>
      <w:r>
        <w:t xml:space="preserve"> dalam keputusan investasi berkelanjutan.</w:t>
      </w:r>
    </w:p>
    <w:p w14:paraId="24EDF510" w14:textId="77777777" w:rsidR="00F31809" w:rsidRPr="00786B52" w:rsidRDefault="00F31809" w:rsidP="00B347BD">
      <w:pPr>
        <w:pStyle w:val="ListParagraph"/>
        <w:spacing w:line="276" w:lineRule="auto"/>
        <w:ind w:left="567" w:firstLine="284"/>
        <w:jc w:val="both"/>
      </w:pPr>
      <w:r w:rsidRPr="00985D27">
        <w:t xml:space="preserve">Hasil Analisa berbagai literature menunjukkan bahwa terhadap risiko dan ekspektasi </w:t>
      </w:r>
      <w:r>
        <w:t xml:space="preserve">imbal hasil dengan pendekatan </w:t>
      </w:r>
      <w:r>
        <w:rPr>
          <w:i/>
          <w:iCs/>
        </w:rPr>
        <w:t>Behavioral Finance</w:t>
      </w:r>
      <w:r>
        <w:t xml:space="preserve"> dalam keputusan investasi merupakan satu kesatuan arah dan linier. </w:t>
      </w:r>
      <w:r w:rsidRPr="00786B52">
        <w:t xml:space="preserve">Hubungan antara ketiga variable risiko, imbal hasil dan keputusan investasidapat digambarkan seperti berikut : </w:t>
      </w:r>
    </w:p>
    <w:p w14:paraId="2A869AEE" w14:textId="57AC3901" w:rsidR="00F31809" w:rsidRPr="00606684" w:rsidRDefault="00F31809" w:rsidP="005E5C2F">
      <w:pPr>
        <w:pStyle w:val="ListParagraph"/>
        <w:spacing w:line="276" w:lineRule="auto"/>
        <w:ind w:left="0" w:firstLine="2268"/>
        <w:jc w:val="both"/>
      </w:pPr>
      <w:r>
        <w:rPr>
          <w:noProof/>
        </w:rPr>
        <w:drawing>
          <wp:inline distT="0" distB="0" distL="0" distR="0" wp14:anchorId="14055981" wp14:editId="173A3C96">
            <wp:extent cx="2967990" cy="2172970"/>
            <wp:effectExtent l="0" t="0" r="0" b="0"/>
            <wp:docPr id="137302933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8F2552F" w14:textId="600403FC" w:rsidR="00F31809" w:rsidRPr="00556DB3" w:rsidRDefault="009067CF" w:rsidP="009067CF">
      <w:pPr>
        <w:spacing w:line="276" w:lineRule="auto"/>
        <w:ind w:left="360"/>
        <w:jc w:val="center"/>
      </w:pPr>
      <w:r>
        <w:t>Gambar 1.</w:t>
      </w:r>
      <w:r w:rsidR="00A114E5">
        <w:t xml:space="preserve"> Hubungan Variabel</w:t>
      </w:r>
    </w:p>
    <w:p w14:paraId="53BAB2CE" w14:textId="77777777" w:rsidR="00F31809" w:rsidRDefault="00F31809" w:rsidP="009067CF">
      <w:pPr>
        <w:spacing w:line="276" w:lineRule="auto"/>
        <w:jc w:val="both"/>
        <w:rPr>
          <w:color w:val="FF0000"/>
        </w:rPr>
      </w:pPr>
    </w:p>
    <w:p w14:paraId="324C0577" w14:textId="77777777" w:rsidR="00F31809" w:rsidRDefault="00F31809" w:rsidP="00AC34FA">
      <w:pPr>
        <w:pStyle w:val="ListParagraph"/>
        <w:spacing w:line="276" w:lineRule="auto"/>
        <w:ind w:left="567" w:firstLine="284"/>
        <w:jc w:val="both"/>
      </w:pPr>
      <w:r>
        <w:t xml:space="preserve">Investor menggunakan pendekatan </w:t>
      </w:r>
      <w:r>
        <w:rPr>
          <w:i/>
          <w:iCs/>
        </w:rPr>
        <w:t xml:space="preserve">Behavioral Finance </w:t>
      </w:r>
      <w:r>
        <w:t>sebagai salah satu kunci untuk menganalisa faktor-faktor yang akan menilai risiko dan imbal hasil berdasarkan pengalaman pribadi dan informasi yang ada kemudian memungkinkan dipengaruhi oleh bias kognitif. Contohnya investor lebih memperhatikan kerugian dari investasi sebelumnya yang dapat mengubah ekspektasi imbal hasil di masa depan. Investor melakukan analisa perilaku keuangan untuk keputusan pembiayaan untuk meningkatkan pemahaman bias perilaku agar keputusan investasi yang dibuat lebih rasional dan terinformasi.</w:t>
      </w:r>
    </w:p>
    <w:p w14:paraId="42A20E91" w14:textId="77777777" w:rsidR="00B347BD" w:rsidRDefault="00F31809" w:rsidP="00AC34FA">
      <w:pPr>
        <w:pStyle w:val="ListParagraph"/>
        <w:spacing w:line="276" w:lineRule="auto"/>
        <w:ind w:left="567" w:firstLine="284"/>
        <w:jc w:val="both"/>
      </w:pPr>
      <w:r w:rsidRPr="00A12F03">
        <w:lastRenderedPageBreak/>
        <w:t xml:space="preserve">Keputusan investasi yang dihasilkan ini kemudian menghasilkan bentuk investasi instrument yang memiliki risiko tinggi karena kepercayaan langsung dari investor akan prediksi hasil dengan tepat, ataupun berupa investasi risiko rendah karena investor takut terhadap kerugian yang akan dialami serta investor mungkin saja menghabiskan saham atau aset lain karena percaya akan harga akan turun. Menggunakan pola pendekatan Behavioral Finance menunjang pengetahuan akan cara kerja pasar dan perilaku investor untuk membuat keputusan yang lebih rasional dengan melalui diversifikasi portofolio sebgai cara ternyaman saat mengambil risiko dan memiliki rencana investasi agar </w:t>
      </w:r>
      <w:r>
        <w:t xml:space="preserve">investor tetap fokus pada tujuan jangka panjang. </w:t>
      </w:r>
    </w:p>
    <w:p w14:paraId="297A81A5" w14:textId="356D7158" w:rsidR="00F31809" w:rsidRPr="00A12F03" w:rsidRDefault="00F31809" w:rsidP="00AC34FA">
      <w:pPr>
        <w:pStyle w:val="ListParagraph"/>
        <w:spacing w:line="276" w:lineRule="auto"/>
        <w:ind w:left="567" w:firstLine="284"/>
        <w:jc w:val="both"/>
      </w:pPr>
      <w:r w:rsidRPr="00A12F03">
        <w:t xml:space="preserve">Mengenai investasi berkelanjutan, pendekatan </w:t>
      </w:r>
      <w:r w:rsidRPr="00A12F03">
        <w:rPr>
          <w:i/>
          <w:iCs/>
        </w:rPr>
        <w:t xml:space="preserve">Behavioral Financial </w:t>
      </w:r>
      <w:r w:rsidRPr="00A12F03">
        <w:t xml:space="preserve">menggabungkan aspek lingkungan, sosial, dan tata Kelola (ESG) dengan pemahaman psikologi untuk membuat keputusan yakni dengan mempertimbangkan integrasi praktik berkelanjutan untuk meningkatkan kinerja yang lebih baik serta meningkatkan kesadaran akan isu lingkungan dan sosial. Mengambil keputusan investasi berkelanjutan dengan mempertimbangkan risiko dan imbal hasil menggunakan pendekatan </w:t>
      </w:r>
      <w:r w:rsidRPr="00A12F03">
        <w:rPr>
          <w:i/>
          <w:iCs/>
        </w:rPr>
        <w:t>Behavioral Finance</w:t>
      </w:r>
      <w:r w:rsidRPr="00A12F03">
        <w:t xml:space="preserve"> dilakukan dengan mempertimbangkan bias kognitif dan emosional dengan strategi pengambilan keputusan yang lebih baik. </w:t>
      </w:r>
    </w:p>
    <w:p w14:paraId="5BCC617E" w14:textId="77777777" w:rsidR="00F31809" w:rsidRDefault="00F31809" w:rsidP="00AC34FA">
      <w:pPr>
        <w:pStyle w:val="ListParagraph"/>
        <w:spacing w:line="276" w:lineRule="auto"/>
        <w:ind w:left="567" w:firstLine="284"/>
        <w:jc w:val="both"/>
      </w:pPr>
      <w:r>
        <w:t xml:space="preserve">Strategi dalam pengambilan keputusan investasi berkelanjutan dengan pendekatan ini dapat dilakukan dengan memiliki rencana investasi yang bertujuan untuk berkelanjutan dengan memanfaatkan data dan metrik ESG untuk evaluasi kinerja keuangan sebagai acuan objektif bagi para investor. Secara keseluruhannya, memperhatikan pendekatan </w:t>
      </w:r>
      <w:r>
        <w:rPr>
          <w:i/>
          <w:iCs/>
        </w:rPr>
        <w:t xml:space="preserve">Behavioral </w:t>
      </w:r>
      <w:r w:rsidRPr="00A921AF">
        <w:t>Finance</w:t>
      </w:r>
      <w:r>
        <w:t xml:space="preserve"> </w:t>
      </w:r>
      <w:r w:rsidRPr="00A921AF">
        <w:t>akan</w:t>
      </w:r>
      <w:r>
        <w:t xml:space="preserve"> memberikan wawasan untuk membahami bias kognitif dan emosional agar keputusan yang dibuat lebih rasional dan beretika dengan tetap fokus pada tujuan keberlanjutan. </w:t>
      </w:r>
    </w:p>
    <w:p w14:paraId="4AC514B6" w14:textId="77777777" w:rsidR="00F31809" w:rsidRPr="00786B52" w:rsidRDefault="00F31809" w:rsidP="009067CF">
      <w:pPr>
        <w:pStyle w:val="ListParagraph"/>
        <w:spacing w:line="276" w:lineRule="auto"/>
        <w:ind w:firstLine="720"/>
        <w:jc w:val="both"/>
      </w:pPr>
    </w:p>
    <w:p w14:paraId="05B86037" w14:textId="77777777" w:rsidR="00F31809" w:rsidRPr="00A12F03" w:rsidRDefault="00F31809" w:rsidP="00AC34FA">
      <w:pPr>
        <w:pStyle w:val="ListParagraph"/>
        <w:numPr>
          <w:ilvl w:val="0"/>
          <w:numId w:val="37"/>
        </w:numPr>
        <w:spacing w:after="160" w:line="276" w:lineRule="auto"/>
        <w:ind w:left="851" w:hanging="284"/>
        <w:jc w:val="both"/>
      </w:pPr>
      <w:r>
        <w:t>Implikasi Hukum r</w:t>
      </w:r>
      <w:r w:rsidRPr="00196F92">
        <w:t>egulasi dan kebijakan</w:t>
      </w:r>
      <w:r>
        <w:t xml:space="preserve"> untuk </w:t>
      </w:r>
      <w:r w:rsidRPr="00196F92">
        <w:t xml:space="preserve">meningkatkan </w:t>
      </w:r>
      <w:r>
        <w:t xml:space="preserve">peluang investasi dan </w:t>
      </w:r>
      <w:r w:rsidRPr="00196F92">
        <w:t>kualitas keputusan investor</w:t>
      </w:r>
      <w:r>
        <w:t>.</w:t>
      </w:r>
    </w:p>
    <w:p w14:paraId="0D4FC625" w14:textId="320C52A1" w:rsidR="00F31809" w:rsidRDefault="00F31809" w:rsidP="00AC34FA">
      <w:pPr>
        <w:pStyle w:val="ListParagraph"/>
        <w:spacing w:line="276" w:lineRule="auto"/>
        <w:ind w:left="567" w:firstLine="284"/>
        <w:jc w:val="both"/>
      </w:pPr>
      <w:r w:rsidRPr="00E1255D">
        <w:t xml:space="preserve">Pentingnya regulasi dan kebijakan hukum dirancang untuk menciptakan </w:t>
      </w:r>
      <w:r>
        <w:t>li</w:t>
      </w:r>
      <w:r w:rsidRPr="00E1255D">
        <w:t>ngkungan yang</w:t>
      </w:r>
      <w:r>
        <w:t xml:space="preserve"> sangat kondusif dan nyaman untuk investasi. Berdasarkan analisis terhadap aturan-aturan hukum yang ada di Indonesia, aspek penting akan keterlibatan hukum dalam peningkatan peluang investasi dan kualitas keputusan investor . Pertama, dilihat dari regulasi Undang-undang Nomor 25 Tahun 2007 Tentang Penanaman Modal. Hadirnya Undang-undang ini merupakan langkah awal pembaharuan hukum investasi, dengan harapan mengakomodasi segala hambatan mengenai investasi yang terjadi agar tercapainya pertumuhan ekonomi berkelanjutan yang berkembang ke arah yang kebih positif. </w:t>
      </w:r>
      <w:r w:rsidR="00D674B4">
        <w:t xml:space="preserve">[16]. </w:t>
      </w:r>
      <w:r>
        <w:t xml:space="preserve">Selanjutnya Undang-undang nomor 8 tahun 1995 tentang Pasar Modal yang menyediakan perlindungan bagi investor, serta kehadiran investasi kembali diawasi melalui regulasi sektor jasa keuangan termasuk perlindungan bagi investor di pasar modal dengan aturan Undang-undang nomor 21 tahun 2011. </w:t>
      </w:r>
    </w:p>
    <w:p w14:paraId="48713AB4" w14:textId="60249312" w:rsidR="00F31809" w:rsidRPr="00A12F03" w:rsidRDefault="00F31809" w:rsidP="00AC34FA">
      <w:pPr>
        <w:pStyle w:val="ListParagraph"/>
        <w:spacing w:line="276" w:lineRule="auto"/>
        <w:ind w:left="567" w:firstLine="284"/>
        <w:jc w:val="both"/>
      </w:pPr>
      <w:r>
        <w:t xml:space="preserve">Kedua, untuk menunjang peluang investasi yang lebih banyak dilihat dari adanya pembentukan Satgas Penataan Investasi berdasarkan Keputusan Menteri Nomor 11 Tahun 2021 mengenai satuan tugas percepatan investasi serta Surat keputusan Menteri investasi Nomor 121 Tahun 2021 tentang Tim pelaksana Satgas Percepatan Investasi mencakup lima bidang. Kelima bidang tersebut adalah penyelesaian permasalahan </w:t>
      </w:r>
      <w:r>
        <w:lastRenderedPageBreak/>
        <w:t>investasi, percepatan sektor prioritas untuk mendapatkan devisa negara, aspek hukum, percepatan investasi kewilayahan dan bidang komunikasi publik</w:t>
      </w:r>
      <w:r w:rsidR="00D674B4">
        <w:t xml:space="preserve"> [17].</w:t>
      </w:r>
    </w:p>
    <w:p w14:paraId="3AE5ED3F" w14:textId="0D226B27" w:rsidR="00F31809" w:rsidRPr="00A12F03" w:rsidRDefault="00F31809" w:rsidP="00AC34FA">
      <w:pPr>
        <w:pStyle w:val="ListParagraph"/>
        <w:spacing w:line="276" w:lineRule="auto"/>
        <w:ind w:left="567" w:firstLine="284"/>
        <w:jc w:val="both"/>
      </w:pPr>
      <w:r>
        <w:t xml:space="preserve">Ketiga, kolaborasi antara regulator yang melibatkan pemangku kepentingan dalam proses regulasi yang menghasilkan keputusan yang lebih tepat dan sesuai dengan kebutuhan pasar bagi investor. Hal ini tertuang pada Konferesi Tingkat Tinggi (KTT) G20 pada tahun 2022 yang berisikan kesepakatan mengenai pentingnya investasi berkelanjutan dan inklusif untuk pemilihan ekonomi, pentingnya kebijakan yang terkoordinasi dan strategis dalam mendorong investasi dan penyederahaan prosedur administrasi investasi, pentingnya iklim pembiayaan investasi yang kondusif serta pentingnya kelompok kerja </w:t>
      </w:r>
      <w:r>
        <w:rPr>
          <w:i/>
          <w:iCs/>
        </w:rPr>
        <w:t>deliverable</w:t>
      </w:r>
      <w:r>
        <w:t xml:space="preserve"> dalam investasi sebagai </w:t>
      </w:r>
      <w:r>
        <w:rPr>
          <w:i/>
          <w:iCs/>
        </w:rPr>
        <w:t xml:space="preserve">Legacy Presidensi </w:t>
      </w:r>
      <w:r>
        <w:t>G20 Indonesia untuk mendorong investasi berkelanjutan</w:t>
      </w:r>
      <w:r w:rsidR="009A1F71">
        <w:t xml:space="preserve"> [18].</w:t>
      </w:r>
    </w:p>
    <w:p w14:paraId="4B238F76" w14:textId="1A5E8EB5" w:rsidR="006A4422" w:rsidRDefault="00AC34FA" w:rsidP="00AC34FA">
      <w:pPr>
        <w:tabs>
          <w:tab w:val="left" w:pos="567"/>
          <w:tab w:val="left" w:pos="851"/>
        </w:tabs>
        <w:spacing w:line="276" w:lineRule="auto"/>
        <w:ind w:left="567"/>
        <w:jc w:val="both"/>
      </w:pPr>
      <w:r>
        <w:tab/>
      </w:r>
      <w:r w:rsidR="00F31809">
        <w:t xml:space="preserve">Keempat, diplomasi kebijakan hilirisasi dan kemitraan melalui Keketuaan ASEAN Indonesia pada tahun 2023 dimana dalam deklarasi </w:t>
      </w:r>
      <w:r w:rsidR="00F31809">
        <w:rPr>
          <w:i/>
          <w:iCs/>
        </w:rPr>
        <w:t>ASEAN Leader’s Summit ke 42</w:t>
      </w:r>
      <w:r w:rsidR="00F31809">
        <w:t>, negara ASEAN termasuk Indonesia menyepakati pentingnya promosi investasi berkelanjutan dalam membuat ekosistem dan rantai pasok kendaraan Listrik dengan mempertimbangkan ruang kebijakan bagi masing-masing negara sesuai dengan keunggulan komparatif yang dimiliki, serta perlu adanya kebijakan optimal terkait sumber daya yang dapat menghasilkan nilai tambah.</w:t>
      </w:r>
    </w:p>
    <w:p w14:paraId="024E253F" w14:textId="77777777" w:rsidR="006A4422" w:rsidRDefault="006A4422" w:rsidP="006A4422">
      <w:pPr>
        <w:pBdr>
          <w:top w:val="nil"/>
          <w:left w:val="nil"/>
          <w:bottom w:val="nil"/>
          <w:right w:val="nil"/>
          <w:between w:val="nil"/>
        </w:pBdr>
        <w:tabs>
          <w:tab w:val="left" w:pos="567"/>
        </w:tabs>
        <w:spacing w:line="276" w:lineRule="auto"/>
        <w:ind w:right="-8"/>
        <w:jc w:val="both"/>
      </w:pPr>
    </w:p>
    <w:p w14:paraId="6F1DB534" w14:textId="23606336" w:rsidR="006940AD" w:rsidRDefault="00DB2D64">
      <w:pPr>
        <w:tabs>
          <w:tab w:val="left" w:pos="567"/>
        </w:tabs>
        <w:spacing w:line="276" w:lineRule="auto"/>
        <w:ind w:left="284" w:hanging="284"/>
        <w:rPr>
          <w:b/>
        </w:rPr>
      </w:pPr>
      <w:r>
        <w:rPr>
          <w:b/>
        </w:rPr>
        <w:t xml:space="preserve">4. </w:t>
      </w:r>
      <w:r>
        <w:rPr>
          <w:b/>
        </w:rPr>
        <w:tab/>
      </w:r>
      <w:r>
        <w:rPr>
          <w:b/>
        </w:rPr>
        <w:tab/>
      </w:r>
      <w:r w:rsidR="00F31809">
        <w:rPr>
          <w:b/>
        </w:rPr>
        <w:t>KESIMPULAN</w:t>
      </w:r>
    </w:p>
    <w:p w14:paraId="721F5C16" w14:textId="28B7E64E" w:rsidR="00F31809" w:rsidRDefault="00F31809" w:rsidP="00F31809">
      <w:pPr>
        <w:pStyle w:val="ListParagraph"/>
        <w:spacing w:line="276" w:lineRule="auto"/>
        <w:ind w:left="0" w:firstLine="567"/>
        <w:jc w:val="both"/>
      </w:pPr>
      <w:r w:rsidRPr="00245045">
        <w:t xml:space="preserve">Hubungan antara risiko, ekspektasi imbal hasil dengan menggunakan pendekatan behavioral finance dalam keputusan investasi berkelanjutan menunjukkan bahwa investor menggunakan pendekatan behavioral finance sebagai salah satu kunci untuk menganalisa faktor-faktor yang akan menilai risiko dan imbal hasil berdasarkan pengalaman pribadi dan informasi yang ada. Keputusan investasi yang dihasilkan ini kemudian menghasilkan bentuk investasi instrument yang memiliki </w:t>
      </w:r>
      <w:r>
        <w:t>risiko</w:t>
      </w:r>
      <w:r w:rsidRPr="00245045">
        <w:t xml:space="preserve"> tinggi atau rendah.</w:t>
      </w:r>
    </w:p>
    <w:p w14:paraId="23B7AB34" w14:textId="0A26FA9F" w:rsidR="00766BBB" w:rsidRPr="00766BBB" w:rsidRDefault="00F31809" w:rsidP="00F31809">
      <w:pPr>
        <w:tabs>
          <w:tab w:val="left" w:pos="567"/>
        </w:tabs>
        <w:spacing w:line="276" w:lineRule="auto"/>
        <w:ind w:firstLine="567"/>
        <w:jc w:val="both"/>
      </w:pPr>
      <w:r w:rsidRPr="00245045">
        <w:t>Implikasi hukum regulasi dan kebijakan untuk meningkatkan peluang investasi dan kualitas keputusan investor adalah pentingnya regulasi dan kebijakan hukum dirancang untuk menciptakan lingkungan yang sangat kondusif dan nyaman untuk investasi. Dalam hal ini, Undang-undang Nomor 25 Tahun 2007 Tentang Penanaman Modal, Undang-undang nomor 8 tahun 1995 tentang Pasar Modal, serta pembentukan Satgas Penataan Investasi berdasarkan Keputusan Menteri Nomor 11 Tahun 2021 dapat membantu meningkatkan peluang investasi dan kualitas keputusan investor.</w:t>
      </w:r>
      <w:r>
        <w:t xml:space="preserve"> </w:t>
      </w:r>
      <w:r w:rsidRPr="00245045">
        <w:t>Namun, perlu diingat bahwa pendekatan behavioral finance juga dapat menunjukkan adanya bias kognitif dan emosional yang perlu diperhatikan dalam pengambilan keputusan investasi. Oleh karena itu, strategi pengambilan keputusan investasi berkelanjutan yang lebih baik dapat dilakukan dengan mempertimbangkan bias kognitif dan emosional serta memiliki rencana investasi yang bertujuan untuk berkelanjutan</w:t>
      </w:r>
      <w:r w:rsidR="00766BBB" w:rsidRPr="00766BBB">
        <w:t xml:space="preserve"> </w:t>
      </w:r>
    </w:p>
    <w:p w14:paraId="5BDC713E" w14:textId="77777777" w:rsidR="003D4D1D" w:rsidRDefault="003D4D1D" w:rsidP="00766BBB">
      <w:pPr>
        <w:tabs>
          <w:tab w:val="left" w:pos="567"/>
        </w:tabs>
        <w:spacing w:line="276" w:lineRule="auto"/>
        <w:jc w:val="both"/>
        <w:rPr>
          <w:b/>
        </w:rPr>
      </w:pPr>
    </w:p>
    <w:p w14:paraId="58081045" w14:textId="6B20D0AD" w:rsidR="006940AD" w:rsidRDefault="0075661B">
      <w:pPr>
        <w:tabs>
          <w:tab w:val="left" w:pos="567"/>
        </w:tabs>
        <w:spacing w:line="276" w:lineRule="auto"/>
        <w:jc w:val="both"/>
        <w:rPr>
          <w:b/>
        </w:rPr>
      </w:pPr>
      <w:r>
        <w:rPr>
          <w:b/>
        </w:rPr>
        <w:t>REFERENSI</w:t>
      </w:r>
    </w:p>
    <w:p w14:paraId="0837C733" w14:textId="39F26589" w:rsidR="007E4A62" w:rsidRPr="007E4A62" w:rsidRDefault="007E4A62" w:rsidP="007E4A62">
      <w:pPr>
        <w:ind w:left="426" w:hanging="426"/>
        <w:jc w:val="both"/>
        <w:rPr>
          <w:lang w:val="en-US"/>
        </w:rPr>
      </w:pPr>
      <w:r w:rsidRPr="007E4A62">
        <w:rPr>
          <w:lang w:val="en-US"/>
        </w:rPr>
        <w:t xml:space="preserve">[1] </w:t>
      </w:r>
      <w:r w:rsidRPr="007E4A62">
        <w:rPr>
          <w:lang w:val="en-US"/>
        </w:rPr>
        <w:tab/>
        <w:t xml:space="preserve">Anake Nagari,Retno Dyah Pekerti, dkk. (2023). </w:t>
      </w:r>
      <w:r w:rsidRPr="007E4A62">
        <w:rPr>
          <w:i/>
          <w:iCs/>
          <w:lang w:val="en-US"/>
        </w:rPr>
        <w:t>Manajemen Investasi: Teori dan Praktik</w:t>
      </w:r>
      <w:r w:rsidRPr="007E4A62">
        <w:rPr>
          <w:lang w:val="en-US"/>
        </w:rPr>
        <w:t>. PT Sada Kurnia Pustaka, Banten, hal. 158-159.</w:t>
      </w:r>
    </w:p>
    <w:p w14:paraId="5EE1AFD0" w14:textId="232E0965" w:rsidR="007E4A62" w:rsidRPr="007E4A62" w:rsidRDefault="007E4A62" w:rsidP="007E4A62">
      <w:pPr>
        <w:ind w:left="426" w:hanging="426"/>
        <w:jc w:val="both"/>
        <w:rPr>
          <w:lang w:val="en-US"/>
        </w:rPr>
      </w:pPr>
      <w:r w:rsidRPr="007E4A62">
        <w:rPr>
          <w:lang w:val="en-US"/>
        </w:rPr>
        <w:t xml:space="preserve">[2] </w:t>
      </w:r>
      <w:r w:rsidRPr="007E4A62">
        <w:rPr>
          <w:lang w:val="en-US"/>
        </w:rPr>
        <w:tab/>
        <w:t xml:space="preserve">Oki Sania Riski, Silvester Adi Surya Herjuna, dkk. (2023). </w:t>
      </w:r>
      <w:r w:rsidRPr="007E4A62">
        <w:rPr>
          <w:i/>
          <w:iCs/>
          <w:lang w:val="en-US"/>
        </w:rPr>
        <w:t>Mengukur Dampak Investasi Berkelanjutan: Evaluasi Terhadap Faktor ESG dalam Portofolio Investor</w:t>
      </w:r>
      <w:r w:rsidRPr="007E4A62">
        <w:rPr>
          <w:lang w:val="en-US"/>
        </w:rPr>
        <w:t>. Jurnal Akuntansi dan Keuangan West Science,2 (03).</w:t>
      </w:r>
    </w:p>
    <w:p w14:paraId="1322B8EC" w14:textId="313A12DD" w:rsidR="007E4A62" w:rsidRPr="007E4A62" w:rsidRDefault="007E4A62" w:rsidP="007E4A62">
      <w:pPr>
        <w:ind w:left="426" w:hanging="426"/>
        <w:jc w:val="both"/>
        <w:rPr>
          <w:lang w:val="en-US"/>
        </w:rPr>
      </w:pPr>
      <w:r w:rsidRPr="007E4A62">
        <w:rPr>
          <w:lang w:val="en-US"/>
        </w:rPr>
        <w:lastRenderedPageBreak/>
        <w:t xml:space="preserve">[3] </w:t>
      </w:r>
      <w:r w:rsidRPr="007E4A62">
        <w:rPr>
          <w:lang w:val="en-US"/>
        </w:rPr>
        <w:tab/>
        <w:t xml:space="preserve">Nicola Villanova. (2023). </w:t>
      </w:r>
      <w:r w:rsidRPr="007E4A62">
        <w:rPr>
          <w:i/>
          <w:iCs/>
          <w:lang w:val="en-US"/>
        </w:rPr>
        <w:t xml:space="preserve">Behavioral Biases in the Sustainability Framework: An Empirical Study. </w:t>
      </w:r>
      <w:r w:rsidRPr="007E4A62">
        <w:rPr>
          <w:lang w:val="en-US"/>
        </w:rPr>
        <w:t>Tesis Ca’Foscari University of Venice</w:t>
      </w:r>
    </w:p>
    <w:p w14:paraId="361D00F7" w14:textId="1BF286C6" w:rsidR="007E4A62" w:rsidRPr="007E4A62" w:rsidRDefault="007E4A62" w:rsidP="007E4A62">
      <w:pPr>
        <w:ind w:left="426" w:hanging="426"/>
        <w:jc w:val="both"/>
      </w:pPr>
      <w:r w:rsidRPr="007E4A62">
        <w:rPr>
          <w:lang w:val="en-US"/>
        </w:rPr>
        <w:t xml:space="preserve">[4] </w:t>
      </w:r>
      <w:r w:rsidRPr="007E4A62">
        <w:rPr>
          <w:lang w:val="en-US"/>
        </w:rPr>
        <w:tab/>
      </w:r>
      <w:r w:rsidRPr="007E4A62">
        <w:t xml:space="preserve">Gorzon, D., Bormann, M., &amp; Von Nitzsch, R. (2024), </w:t>
      </w:r>
      <w:r w:rsidRPr="007E4A62">
        <w:rPr>
          <w:i/>
          <w:iCs/>
        </w:rPr>
        <w:t>Measuring costly behavioral bias factors in portfolio management: a review</w:t>
      </w:r>
      <w:r w:rsidRPr="007E4A62">
        <w:t>. Financial Markets and Portfolio Management, 38(1), https://doi: 10.1007/s11408-024-00444-7.</w:t>
      </w:r>
    </w:p>
    <w:p w14:paraId="11BAC54C" w14:textId="77777777" w:rsidR="007E4A62" w:rsidRPr="007E4A62" w:rsidRDefault="007E4A62" w:rsidP="007E4A62">
      <w:pPr>
        <w:ind w:left="426" w:hanging="426"/>
        <w:jc w:val="both"/>
      </w:pPr>
      <w:r w:rsidRPr="007E4A62">
        <w:t xml:space="preserve">[5] Safryani, U., Aziz, A., &amp; Triwahyuningtyas, N. (2020).  </w:t>
      </w:r>
      <w:r w:rsidRPr="007E4A62">
        <w:rPr>
          <w:i/>
          <w:iCs/>
        </w:rPr>
        <w:t>Analisis Literasi Keuangan, Perilaku Keuangan, Dan Pendapatan Terhadap Keputusan Investasi.</w:t>
      </w:r>
      <w:r w:rsidRPr="007E4A62">
        <w:t xml:space="preserve"> Jurnal Ilmiah Akuntansi Kesatuan, 8(3), https://doi.org/10.37641/jiakes.v8i3.384</w:t>
      </w:r>
    </w:p>
    <w:p w14:paraId="452FA59D" w14:textId="42290F47" w:rsidR="007E4A62" w:rsidRPr="007E4A62" w:rsidRDefault="007E4A62" w:rsidP="007E4A62">
      <w:pPr>
        <w:pStyle w:val="FootnoteText"/>
        <w:ind w:left="426" w:hanging="426"/>
        <w:jc w:val="both"/>
        <w:rPr>
          <w:rFonts w:ascii="Times New Roman" w:hAnsi="Times New Roman" w:cs="Times New Roman"/>
          <w:sz w:val="24"/>
          <w:szCs w:val="24"/>
        </w:rPr>
      </w:pPr>
      <w:r w:rsidRPr="007E4A62">
        <w:rPr>
          <w:rFonts w:ascii="Times New Roman" w:hAnsi="Times New Roman" w:cs="Times New Roman"/>
          <w:sz w:val="24"/>
          <w:szCs w:val="24"/>
        </w:rPr>
        <w:t xml:space="preserve">[6] </w:t>
      </w:r>
      <w:r w:rsidRPr="007E4A62">
        <w:rPr>
          <w:rFonts w:ascii="Times New Roman" w:hAnsi="Times New Roman" w:cs="Times New Roman"/>
          <w:sz w:val="24"/>
          <w:szCs w:val="24"/>
        </w:rPr>
        <w:tab/>
        <w:t xml:space="preserve">Hery Haryanto &amp; Alice. (2022). </w:t>
      </w:r>
      <w:r w:rsidRPr="007E4A62">
        <w:rPr>
          <w:rFonts w:ascii="Times New Roman" w:hAnsi="Times New Roman" w:cs="Times New Roman"/>
          <w:i/>
          <w:iCs/>
          <w:sz w:val="24"/>
          <w:szCs w:val="24"/>
        </w:rPr>
        <w:t>Dampak Behavioral Finance Terhadap Keputusan Investasi dengan Persepsi Risiko sebagai Variabel Moderasi</w:t>
      </w:r>
      <w:r w:rsidRPr="007E4A62">
        <w:rPr>
          <w:rFonts w:ascii="Times New Roman" w:hAnsi="Times New Roman" w:cs="Times New Roman"/>
          <w:sz w:val="24"/>
          <w:szCs w:val="24"/>
        </w:rPr>
        <w:t>. Jurnal Management, Business and Accounting, 21(2). e-ISSN: 2655-826.</w:t>
      </w:r>
    </w:p>
    <w:p w14:paraId="4FF149EE" w14:textId="3C3BFD38" w:rsidR="007E4A62" w:rsidRPr="007E4A62" w:rsidRDefault="007E4A62" w:rsidP="007E4A62">
      <w:pPr>
        <w:ind w:left="426" w:hanging="426"/>
        <w:jc w:val="both"/>
        <w:rPr>
          <w:lang w:val="en-US"/>
        </w:rPr>
      </w:pPr>
      <w:r w:rsidRPr="007E4A62">
        <w:rPr>
          <w:lang w:val="en-US"/>
        </w:rPr>
        <w:t xml:space="preserve">[7] </w:t>
      </w:r>
      <w:r w:rsidRPr="007E4A62">
        <w:rPr>
          <w:lang w:val="en-US"/>
        </w:rPr>
        <w:tab/>
        <w:t xml:space="preserve">Aditya Pratama, Achmad Fauzi, Unggul Purwohedi. (2022). </w:t>
      </w:r>
      <w:r w:rsidRPr="007E4A62">
        <w:rPr>
          <w:i/>
          <w:iCs/>
          <w:lang w:val="en-US"/>
        </w:rPr>
        <w:t xml:space="preserve">Pengaruh Persepsi Risiko, Ekspektasi Return Behavioral Motivation Terhadap Keputusan Investasi Mahasiswa yang Terdaftar di Galeri Investasi Perguran Tinggi Negeri Jakarta. </w:t>
      </w:r>
      <w:r w:rsidRPr="007E4A62">
        <w:rPr>
          <w:lang w:val="en-US"/>
        </w:rPr>
        <w:t>Jurnal Ekonomi, Bisnis Keuangan Indonesia,  2(3).</w:t>
      </w:r>
    </w:p>
    <w:p w14:paraId="76AE1DC1" w14:textId="646E32CB" w:rsidR="007E4A62" w:rsidRPr="007E4A62" w:rsidRDefault="007E4A62" w:rsidP="007E4A62">
      <w:pPr>
        <w:pStyle w:val="FootnoteText"/>
        <w:ind w:left="426" w:hanging="426"/>
        <w:jc w:val="both"/>
        <w:rPr>
          <w:rFonts w:ascii="Times New Roman" w:hAnsi="Times New Roman" w:cs="Times New Roman"/>
          <w:sz w:val="24"/>
          <w:szCs w:val="24"/>
          <w:lang w:val="en-US"/>
        </w:rPr>
      </w:pPr>
      <w:r w:rsidRPr="007E4A62">
        <w:rPr>
          <w:rFonts w:ascii="Times New Roman" w:hAnsi="Times New Roman" w:cs="Times New Roman"/>
          <w:sz w:val="24"/>
          <w:szCs w:val="24"/>
          <w:lang w:val="en-US"/>
        </w:rPr>
        <w:t xml:space="preserve">[8] </w:t>
      </w:r>
      <w:r w:rsidRPr="007E4A62">
        <w:rPr>
          <w:rFonts w:ascii="Times New Roman" w:hAnsi="Times New Roman" w:cs="Times New Roman"/>
          <w:sz w:val="24"/>
          <w:szCs w:val="24"/>
          <w:lang w:val="en-US"/>
        </w:rPr>
        <w:tab/>
        <w:t xml:space="preserve">Matthias Horn, (2024). </w:t>
      </w:r>
      <w:r w:rsidRPr="007E4A62">
        <w:rPr>
          <w:rFonts w:ascii="Times New Roman" w:hAnsi="Times New Roman" w:cs="Times New Roman"/>
          <w:i/>
          <w:iCs/>
          <w:sz w:val="24"/>
          <w:szCs w:val="24"/>
        </w:rPr>
        <w:t xml:space="preserve">The European green deal, retail investors and sustainable investments: A perspective article covering economic, behavioral, and regulatory insights. </w:t>
      </w:r>
      <w:r w:rsidRPr="007E4A62">
        <w:rPr>
          <w:rFonts w:ascii="Times New Roman" w:hAnsi="Times New Roman" w:cs="Times New Roman"/>
          <w:sz w:val="24"/>
          <w:szCs w:val="24"/>
        </w:rPr>
        <w:t>Jurnal Environmental Sustainability. 100241</w:t>
      </w:r>
    </w:p>
    <w:p w14:paraId="10B85D57" w14:textId="729F93B3" w:rsidR="007E4A62" w:rsidRPr="007E4A62" w:rsidRDefault="007E4A62" w:rsidP="007E4A62">
      <w:pPr>
        <w:ind w:left="426" w:hanging="426"/>
        <w:jc w:val="both"/>
      </w:pPr>
      <w:r w:rsidRPr="007E4A62">
        <w:rPr>
          <w:lang w:val="en-US"/>
        </w:rPr>
        <w:t xml:space="preserve">[9] </w:t>
      </w:r>
      <w:r w:rsidRPr="007E4A62">
        <w:rPr>
          <w:lang w:val="en-US"/>
        </w:rPr>
        <w:tab/>
      </w:r>
      <w:r w:rsidRPr="007E4A62">
        <w:t xml:space="preserve">Musmulyadi, Sri Agustina, dkk. (2023). </w:t>
      </w:r>
      <w:r w:rsidRPr="007E4A62">
        <w:rPr>
          <w:i/>
          <w:iCs/>
        </w:rPr>
        <w:t>Tantangan Regulasi Hukum Investasi di Indonesia dalam Mendorong Pertumbuhan Ekonomi</w:t>
      </w:r>
      <w:r w:rsidRPr="007E4A62">
        <w:t>. Jurnal Pendidikan Tambusai, 7(3).</w:t>
      </w:r>
    </w:p>
    <w:p w14:paraId="0BE19F8F" w14:textId="1C4D87BE" w:rsidR="007E4A62" w:rsidRPr="007E4A62" w:rsidRDefault="007E4A62" w:rsidP="007E4A62">
      <w:pPr>
        <w:ind w:left="567" w:hanging="567"/>
        <w:jc w:val="both"/>
      </w:pPr>
      <w:r w:rsidRPr="007E4A62">
        <w:t xml:space="preserve">[10] </w:t>
      </w:r>
      <w:r w:rsidRPr="007E4A62">
        <w:tab/>
        <w:t>Ritter J R (2003), Behavioral Finance, Pacific-Basin Finance Journal 11 (2003) 429–437</w:t>
      </w:r>
    </w:p>
    <w:p w14:paraId="69B2F954" w14:textId="2C1678C4" w:rsidR="007E4A62" w:rsidRPr="007E4A62" w:rsidRDefault="007E4A62" w:rsidP="007E4A62">
      <w:pPr>
        <w:ind w:left="567" w:hanging="567"/>
        <w:jc w:val="both"/>
        <w:rPr>
          <w:lang w:val="en-US"/>
        </w:rPr>
      </w:pPr>
      <w:r w:rsidRPr="007E4A62">
        <w:t xml:space="preserve">[11] </w:t>
      </w:r>
      <w:r w:rsidRPr="007E4A62">
        <w:tab/>
      </w:r>
      <w:r w:rsidRPr="007E4A62">
        <w:rPr>
          <w:lang w:val="en-US"/>
        </w:rPr>
        <w:t xml:space="preserve">Kendry Cherry. 2024. </w:t>
      </w:r>
      <w:r w:rsidRPr="007E4A62">
        <w:rPr>
          <w:i/>
          <w:iCs/>
          <w:lang w:val="en-US"/>
        </w:rPr>
        <w:t>How Cognitive Biases Influence the Way You Think and Act</w:t>
      </w:r>
      <w:r w:rsidRPr="007E4A62">
        <w:rPr>
          <w:lang w:val="en-US"/>
        </w:rPr>
        <w:t>. Diakses melalui https://www.verywellmind.com/what-is-a-cognitive-bias-2794963</w:t>
      </w:r>
    </w:p>
    <w:p w14:paraId="1213F731" w14:textId="7523BF48" w:rsidR="007E4A62" w:rsidRPr="007E4A62" w:rsidRDefault="007E4A62" w:rsidP="007E4A62">
      <w:pPr>
        <w:ind w:left="567" w:hanging="567"/>
        <w:jc w:val="both"/>
        <w:rPr>
          <w:lang w:val="en-US"/>
        </w:rPr>
      </w:pPr>
      <w:r w:rsidRPr="007E4A62">
        <w:rPr>
          <w:lang w:val="en-US"/>
        </w:rPr>
        <w:t xml:space="preserve">[12] </w:t>
      </w:r>
      <w:r w:rsidRPr="007E4A62">
        <w:rPr>
          <w:lang w:val="en-US"/>
        </w:rPr>
        <w:tab/>
        <w:t xml:space="preserve">Ruchi Priya Khilar &amp; Dr. Shikta Singh. 2020. </w:t>
      </w:r>
      <w:r w:rsidRPr="007E4A62">
        <w:rPr>
          <w:i/>
          <w:iCs/>
          <w:lang w:val="en-US"/>
        </w:rPr>
        <w:t>Role of emotional Bias on Investment Decision From Behavioral Finance Perspective</w:t>
      </w:r>
      <w:r w:rsidRPr="007E4A62">
        <w:rPr>
          <w:lang w:val="en-US"/>
        </w:rPr>
        <w:t>. International Journal of Scientific&amp;Technology Research, 9 (03).</w:t>
      </w:r>
    </w:p>
    <w:p w14:paraId="22FEC6F4" w14:textId="776E2351" w:rsidR="007E4A62" w:rsidRPr="007E4A62" w:rsidRDefault="007E4A62" w:rsidP="007E4A62">
      <w:pPr>
        <w:ind w:left="567" w:hanging="567"/>
        <w:jc w:val="both"/>
        <w:rPr>
          <w:i/>
          <w:iCs/>
          <w:lang w:val="en-US"/>
        </w:rPr>
      </w:pPr>
      <w:r w:rsidRPr="007E4A62">
        <w:rPr>
          <w:lang w:val="en-US"/>
        </w:rPr>
        <w:t xml:space="preserve">[13] </w:t>
      </w:r>
      <w:r w:rsidRPr="007E4A62">
        <w:rPr>
          <w:lang w:val="en-US"/>
        </w:rPr>
        <w:tab/>
        <w:t xml:space="preserve">American Psychological association.2023. </w:t>
      </w:r>
      <w:r w:rsidRPr="007E4A62">
        <w:rPr>
          <w:i/>
          <w:iCs/>
          <w:lang w:val="en-US"/>
        </w:rPr>
        <w:t>Confirmation Bias in Psychology:Definition &amp; Examples. https://www.simplypsychology.org/confirmation-bias.html</w:t>
      </w:r>
    </w:p>
    <w:p w14:paraId="2323424E" w14:textId="574DC57F" w:rsidR="007E4A62" w:rsidRPr="007E4A62" w:rsidRDefault="007E4A62" w:rsidP="007E4A62">
      <w:pPr>
        <w:ind w:left="567" w:hanging="567"/>
        <w:jc w:val="both"/>
        <w:rPr>
          <w:lang w:val="en-US"/>
        </w:rPr>
      </w:pPr>
      <w:r w:rsidRPr="007E4A62">
        <w:rPr>
          <w:i/>
          <w:iCs/>
          <w:lang w:val="en-US"/>
        </w:rPr>
        <w:t xml:space="preserve">[14] </w:t>
      </w:r>
      <w:r w:rsidRPr="007E4A62">
        <w:rPr>
          <w:i/>
          <w:iCs/>
          <w:lang w:val="en-US"/>
        </w:rPr>
        <w:tab/>
      </w:r>
      <w:r w:rsidRPr="007E4A62">
        <w:rPr>
          <w:lang w:val="en-US"/>
        </w:rPr>
        <w:t xml:space="preserve">Vijaykumar Dhannur &amp; Subham Mohan Kusane. 2023. </w:t>
      </w:r>
      <w:r w:rsidRPr="007E4A62">
        <w:rPr>
          <w:i/>
          <w:iCs/>
          <w:lang w:val="en-US"/>
        </w:rPr>
        <w:t xml:space="preserve">Managing Overconfidence Bias in Decision Making : A Review of The Literature. </w:t>
      </w:r>
      <w:r w:rsidRPr="007E4A62">
        <w:rPr>
          <w:lang w:val="en-US"/>
        </w:rPr>
        <w:t>UGC Care Listed Journal, 2 (3).</w:t>
      </w:r>
    </w:p>
    <w:p w14:paraId="1AB35EA3" w14:textId="5D9E88B4" w:rsidR="007E4A62" w:rsidRPr="007E4A62" w:rsidRDefault="007E4A62" w:rsidP="007E4A62">
      <w:pPr>
        <w:ind w:left="567" w:hanging="567"/>
        <w:jc w:val="both"/>
      </w:pPr>
      <w:r w:rsidRPr="007E4A62">
        <w:rPr>
          <w:lang w:val="en-US"/>
        </w:rPr>
        <w:t xml:space="preserve">[15] </w:t>
      </w:r>
      <w:r w:rsidRPr="007E4A62">
        <w:rPr>
          <w:lang w:val="en-US"/>
        </w:rPr>
        <w:tab/>
      </w:r>
      <w:r w:rsidRPr="007E4A62">
        <w:t>Nofsinger, John R &amp;  Abhishek Varma. 2013. “</w:t>
      </w:r>
      <w:r w:rsidRPr="007E4A62">
        <w:rPr>
          <w:i/>
          <w:iCs/>
        </w:rPr>
        <w:t>Availability, Recency, and Sophistication in the Repurchasing Behavior of Retail Investors.”</w:t>
      </w:r>
      <w:r w:rsidRPr="007E4A62">
        <w:t xml:space="preserve"> Journal of Banking &amp; Finance,  37( 7).</w:t>
      </w:r>
    </w:p>
    <w:p w14:paraId="6E4264CF" w14:textId="25EF4CFD" w:rsidR="007E4A62" w:rsidRPr="007E4A62" w:rsidRDefault="007E4A62" w:rsidP="007E4A62">
      <w:pPr>
        <w:ind w:left="567" w:hanging="567"/>
        <w:jc w:val="both"/>
        <w:rPr>
          <w:lang w:val="en-US"/>
        </w:rPr>
      </w:pPr>
      <w:r w:rsidRPr="007E4A62">
        <w:t xml:space="preserve">[16] </w:t>
      </w:r>
      <w:r w:rsidRPr="007E4A62">
        <w:tab/>
      </w:r>
      <w:r w:rsidRPr="007E4A62">
        <w:rPr>
          <w:lang w:val="en-US"/>
        </w:rPr>
        <w:t xml:space="preserve">Ferry Susanto L. 2018. </w:t>
      </w:r>
      <w:r w:rsidRPr="007E4A62">
        <w:rPr>
          <w:i/>
          <w:iCs/>
          <w:lang w:val="en-US"/>
        </w:rPr>
        <w:t xml:space="preserve">Implikasi Hukum Ekonomi Terhadap Pertumbuhan Investasi. </w:t>
      </w:r>
      <w:r w:rsidRPr="007E4A62">
        <w:rPr>
          <w:lang w:val="en-US"/>
        </w:rPr>
        <w:t>Jurnal Warta Edisi : 57</w:t>
      </w:r>
    </w:p>
    <w:p w14:paraId="042251FD" w14:textId="68695974" w:rsidR="007E4A62" w:rsidRPr="007E4A62" w:rsidRDefault="007E4A62" w:rsidP="007E4A62">
      <w:pPr>
        <w:pStyle w:val="FootnoteText"/>
        <w:ind w:left="567" w:hanging="567"/>
        <w:jc w:val="both"/>
        <w:rPr>
          <w:rFonts w:ascii="Times New Roman" w:hAnsi="Times New Roman" w:cs="Times New Roman"/>
          <w:sz w:val="24"/>
          <w:szCs w:val="24"/>
          <w:lang w:val="en-US"/>
        </w:rPr>
      </w:pPr>
      <w:r w:rsidRPr="007E4A62">
        <w:rPr>
          <w:rFonts w:ascii="Times New Roman" w:hAnsi="Times New Roman" w:cs="Times New Roman"/>
          <w:sz w:val="24"/>
          <w:szCs w:val="24"/>
          <w:lang w:val="en-US"/>
        </w:rPr>
        <w:t xml:space="preserve">[17] </w:t>
      </w:r>
      <w:r w:rsidRPr="007E4A62">
        <w:rPr>
          <w:rFonts w:ascii="Times New Roman" w:hAnsi="Times New Roman" w:cs="Times New Roman"/>
          <w:sz w:val="24"/>
          <w:szCs w:val="24"/>
          <w:lang w:val="en-US"/>
        </w:rPr>
        <w:tab/>
        <w:t xml:space="preserve">Ferry Susanto L. 2018. </w:t>
      </w:r>
      <w:r w:rsidRPr="007E4A62">
        <w:rPr>
          <w:rFonts w:ascii="Times New Roman" w:hAnsi="Times New Roman" w:cs="Times New Roman"/>
          <w:i/>
          <w:iCs/>
          <w:sz w:val="24"/>
          <w:szCs w:val="24"/>
          <w:lang w:val="en-US"/>
        </w:rPr>
        <w:t xml:space="preserve">Implikasi Hukum Ekonomi Terhadap Pertumbuhan Investasi. </w:t>
      </w:r>
      <w:r w:rsidRPr="007E4A62">
        <w:rPr>
          <w:rFonts w:ascii="Times New Roman" w:hAnsi="Times New Roman" w:cs="Times New Roman"/>
          <w:sz w:val="24"/>
          <w:szCs w:val="24"/>
          <w:lang w:val="en-US"/>
        </w:rPr>
        <w:t>Jurnal Warta Edisi : 57</w:t>
      </w:r>
    </w:p>
    <w:p w14:paraId="33B002E5" w14:textId="2C99A549" w:rsidR="007E4A62" w:rsidRPr="007E4A62" w:rsidRDefault="007E4A62" w:rsidP="007E4A62">
      <w:pPr>
        <w:pStyle w:val="FootnoteText"/>
        <w:ind w:left="567" w:hanging="567"/>
        <w:jc w:val="both"/>
        <w:rPr>
          <w:rFonts w:ascii="Times New Roman" w:hAnsi="Times New Roman" w:cs="Times New Roman"/>
          <w:sz w:val="24"/>
          <w:szCs w:val="24"/>
          <w:lang w:val="en-US"/>
        </w:rPr>
      </w:pPr>
      <w:r w:rsidRPr="007E4A62">
        <w:rPr>
          <w:rFonts w:ascii="Times New Roman" w:hAnsi="Times New Roman" w:cs="Times New Roman"/>
          <w:sz w:val="24"/>
          <w:szCs w:val="24"/>
          <w:lang w:val="en-US"/>
        </w:rPr>
        <w:t xml:space="preserve">[18] </w:t>
      </w:r>
      <w:r w:rsidRPr="007E4A62">
        <w:rPr>
          <w:rFonts w:ascii="Times New Roman" w:hAnsi="Times New Roman" w:cs="Times New Roman"/>
          <w:sz w:val="24"/>
          <w:szCs w:val="24"/>
          <w:lang w:val="en-US"/>
        </w:rPr>
        <w:tab/>
        <w:t xml:space="preserve">Nur Rohmi Aida, Rendika Ferri Kurniawan. 2022. </w:t>
      </w:r>
      <w:r w:rsidRPr="007E4A62">
        <w:rPr>
          <w:rFonts w:ascii="Times New Roman" w:hAnsi="Times New Roman" w:cs="Times New Roman"/>
          <w:i/>
          <w:iCs/>
          <w:sz w:val="24"/>
          <w:szCs w:val="24"/>
          <w:lang w:val="en-US"/>
        </w:rPr>
        <w:t xml:space="preserve">Poin-poin Deklarasi Pemimpin G20 Bali, hasil Kesepakatan KTT G20. </w:t>
      </w:r>
      <w:r w:rsidRPr="007E4A62">
        <w:rPr>
          <w:rFonts w:ascii="Times New Roman" w:hAnsi="Times New Roman" w:cs="Times New Roman"/>
          <w:sz w:val="24"/>
          <w:szCs w:val="24"/>
          <w:lang w:val="en-US"/>
        </w:rPr>
        <w:t>Diakses melalui https://www.kompas.com/tren/read/2022/11/18/133000565/poin-poin-deklarasi-pemimpin-g20-bali-hasil-kesepakatan-ktt-g20</w:t>
      </w:r>
    </w:p>
    <w:p w14:paraId="0E4C6FE1" w14:textId="77777777" w:rsidR="003869F3" w:rsidRDefault="003869F3" w:rsidP="003869F3">
      <w:pPr>
        <w:ind w:left="426" w:hanging="426"/>
        <w:jc w:val="both"/>
        <w:rPr>
          <w:lang w:val="en-US"/>
        </w:rPr>
      </w:pPr>
    </w:p>
    <w:p w14:paraId="256CC6C2" w14:textId="77777777" w:rsidR="003869F3" w:rsidRDefault="003869F3" w:rsidP="003869F3">
      <w:pPr>
        <w:ind w:left="426" w:hanging="426"/>
        <w:jc w:val="both"/>
        <w:rPr>
          <w:lang w:val="en-US"/>
        </w:rPr>
      </w:pPr>
    </w:p>
    <w:p w14:paraId="5911C6E8" w14:textId="77777777" w:rsidR="003869F3" w:rsidRDefault="003869F3" w:rsidP="003869F3">
      <w:pPr>
        <w:ind w:left="426" w:hanging="426"/>
        <w:jc w:val="both"/>
        <w:rPr>
          <w:lang w:val="en-US"/>
        </w:rPr>
      </w:pPr>
    </w:p>
    <w:p w14:paraId="1A08A898" w14:textId="77777777" w:rsidR="003869F3" w:rsidRDefault="003869F3" w:rsidP="003869F3">
      <w:pPr>
        <w:ind w:left="426" w:hanging="426"/>
        <w:jc w:val="both"/>
        <w:rPr>
          <w:lang w:val="en-US"/>
        </w:rPr>
      </w:pPr>
    </w:p>
    <w:p w14:paraId="5938A1CA" w14:textId="77777777" w:rsidR="003869F3" w:rsidRPr="005D1211" w:rsidRDefault="003869F3" w:rsidP="003869F3">
      <w:pPr>
        <w:ind w:left="426" w:hanging="426"/>
        <w:jc w:val="both"/>
        <w:rPr>
          <w:lang w:val="en-US"/>
        </w:rPr>
      </w:pPr>
    </w:p>
    <w:sectPr w:rsidR="003869F3" w:rsidRPr="005D1211" w:rsidSect="00FF3F0F">
      <w:headerReference w:type="even" r:id="rId15"/>
      <w:headerReference w:type="default" r:id="rId16"/>
      <w:footerReference w:type="even" r:id="rId17"/>
      <w:footerReference w:type="default" r:id="rId18"/>
      <w:headerReference w:type="first" r:id="rId19"/>
      <w:footerReference w:type="first" r:id="rId20"/>
      <w:pgSz w:w="11900" w:h="16840"/>
      <w:pgMar w:top="1418" w:right="1418" w:bottom="1418" w:left="1418" w:header="709" w:footer="709" w:gutter="0"/>
      <w:pgNumType w:start="24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4BE1B" w14:textId="77777777" w:rsidR="004B1D41" w:rsidRDefault="004B1D41">
      <w:r>
        <w:separator/>
      </w:r>
    </w:p>
  </w:endnote>
  <w:endnote w:type="continuationSeparator" w:id="0">
    <w:p w14:paraId="4B484F1C" w14:textId="77777777" w:rsidR="004B1D41" w:rsidRDefault="004B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inionPro-Regular">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E9BE6" w14:textId="77777777" w:rsidR="006940AD" w:rsidRDefault="00DB2D6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6F5F8617" w14:textId="77777777" w:rsidR="006940AD" w:rsidRDefault="00DB2D64">
    <w:pPr>
      <w:pBdr>
        <w:top w:val="nil"/>
        <w:left w:val="nil"/>
        <w:bottom w:val="nil"/>
        <w:right w:val="nil"/>
        <w:between w:val="nil"/>
      </w:pBdr>
      <w:tabs>
        <w:tab w:val="center" w:pos="4680"/>
        <w:tab w:val="right" w:pos="9360"/>
      </w:tabs>
      <w:ind w:right="360"/>
      <w:jc w:val="right"/>
      <w:rPr>
        <w:color w:val="000000"/>
      </w:rPr>
    </w:pPr>
    <w:r>
      <w:rPr>
        <w:color w:val="000000"/>
      </w:rPr>
      <w:t>Page</w:t>
    </w:r>
  </w:p>
  <w:p w14:paraId="3EA821C2" w14:textId="77777777" w:rsidR="006940AD" w:rsidRDefault="00DB2D64">
    <w:pPr>
      <w:pBdr>
        <w:top w:val="nil"/>
        <w:left w:val="nil"/>
        <w:bottom w:val="nil"/>
        <w:right w:val="nil"/>
        <w:between w:val="nil"/>
      </w:pBdr>
      <w:tabs>
        <w:tab w:val="center" w:pos="4680"/>
        <w:tab w:val="right" w:pos="9360"/>
      </w:tabs>
      <w:ind w:right="360"/>
      <w:rPr>
        <w:color w:val="000000"/>
      </w:rPr>
    </w:pPr>
    <w:r>
      <w:rPr>
        <w:rFonts w:ascii="Times" w:eastAsia="Times" w:hAnsi="Times" w:cs="Times"/>
        <w:b/>
        <w:i/>
        <w:color w:val="000000"/>
      </w:rPr>
      <w:t>Journal Homepage</w:t>
    </w:r>
    <w:r>
      <w:rPr>
        <w:rFonts w:ascii="Times" w:eastAsia="Times" w:hAnsi="Times" w:cs="Times"/>
        <w:i/>
        <w:color w:val="000000"/>
      </w:rPr>
      <w:t xml:space="preserve"> : https://jurnal.intekom.id/index.php/indotec</w:t>
    </w:r>
    <w:r>
      <w:rPr>
        <w:noProof/>
        <w:lang w:val="en-US"/>
      </w:rPr>
      <mc:AlternateContent>
        <mc:Choice Requires="wpg">
          <w:drawing>
            <wp:anchor distT="0" distB="0" distL="114300" distR="114300" simplePos="0" relativeHeight="251663360" behindDoc="0" locked="0" layoutInCell="1" hidden="0" allowOverlap="1" wp14:anchorId="06F467B2" wp14:editId="693ACE5C">
              <wp:simplePos x="0" y="0"/>
              <wp:positionH relativeFrom="column">
                <wp:posOffset>12701</wp:posOffset>
              </wp:positionH>
              <wp:positionV relativeFrom="paragraph">
                <wp:posOffset>0</wp:posOffset>
              </wp:positionV>
              <wp:extent cx="22225" cy="22225"/>
              <wp:effectExtent l="0" t="0" r="0" b="0"/>
              <wp:wrapNone/>
              <wp:docPr id="473575334" name="Straight Arrow Connector 473575334"/>
              <wp:cNvGraphicFramePr/>
              <a:graphic xmlns:a="http://schemas.openxmlformats.org/drawingml/2006/main">
                <a:graphicData uri="http://schemas.microsoft.com/office/word/2010/wordprocessingShape">
                  <wps:wsp>
                    <wps:cNvCnPr/>
                    <wps:spPr>
                      <a:xfrm>
                        <a:off x="2520250" y="3780000"/>
                        <a:ext cx="56515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2225" cy="22225"/>
              <wp:effectExtent b="0" l="0" r="0" t="0"/>
              <wp:wrapNone/>
              <wp:docPr id="47357533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225" cy="2222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A2E46" w14:textId="79F15833" w:rsidR="006940AD" w:rsidRDefault="00DB2D64">
    <w:pPr>
      <w:pBdr>
        <w:top w:val="nil"/>
        <w:left w:val="nil"/>
        <w:bottom w:val="nil"/>
        <w:right w:val="nil"/>
        <w:between w:val="nil"/>
      </w:pBdr>
      <w:tabs>
        <w:tab w:val="center" w:pos="4680"/>
        <w:tab w:val="right" w:pos="9360"/>
      </w:tabs>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E97D07">
      <w:rPr>
        <w:noProof/>
        <w:color w:val="000000"/>
      </w:rPr>
      <w:t>215</w:t>
    </w:r>
    <w:r>
      <w:rPr>
        <w:color w:val="000000"/>
      </w:rPr>
      <w:fldChar w:fldCharType="end"/>
    </w:r>
    <w:r>
      <w:rPr>
        <w:noProof/>
        <w:lang w:val="en-US"/>
      </w:rPr>
      <mc:AlternateContent>
        <mc:Choice Requires="wpg">
          <w:drawing>
            <wp:anchor distT="0" distB="0" distL="114300" distR="114300" simplePos="0" relativeHeight="251661312" behindDoc="0" locked="0" layoutInCell="1" hidden="0" allowOverlap="1" wp14:anchorId="100B9031" wp14:editId="26A76971">
              <wp:simplePos x="0" y="0"/>
              <wp:positionH relativeFrom="column">
                <wp:posOffset>25401</wp:posOffset>
              </wp:positionH>
              <wp:positionV relativeFrom="paragraph">
                <wp:posOffset>165100</wp:posOffset>
              </wp:positionV>
              <wp:extent cx="22225" cy="22225"/>
              <wp:effectExtent l="0" t="0" r="0" b="0"/>
              <wp:wrapNone/>
              <wp:docPr id="473575332" name="Straight Arrow Connector 473575332"/>
              <wp:cNvGraphicFramePr/>
              <a:graphic xmlns:a="http://schemas.openxmlformats.org/drawingml/2006/main">
                <a:graphicData uri="http://schemas.microsoft.com/office/word/2010/wordprocessingShape">
                  <wps:wsp>
                    <wps:cNvCnPr/>
                    <wps:spPr>
                      <a:xfrm>
                        <a:off x="2525682" y="3780000"/>
                        <a:ext cx="564063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165100</wp:posOffset>
              </wp:positionV>
              <wp:extent cx="22225" cy="22225"/>
              <wp:effectExtent b="0" l="0" r="0" t="0"/>
              <wp:wrapNone/>
              <wp:docPr id="47357533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225" cy="22225"/>
                      </a:xfrm>
                      <a:prstGeom prst="rect"/>
                      <a:ln/>
                    </pic:spPr>
                  </pic:pic>
                </a:graphicData>
              </a:graphic>
            </wp:anchor>
          </w:drawing>
        </mc:Fallback>
      </mc:AlternateContent>
    </w:r>
  </w:p>
  <w:p w14:paraId="15CE0388" w14:textId="77777777" w:rsidR="006940AD" w:rsidRDefault="00DB2D64">
    <w:pPr>
      <w:pBdr>
        <w:top w:val="nil"/>
        <w:left w:val="nil"/>
        <w:bottom w:val="nil"/>
        <w:right w:val="nil"/>
        <w:between w:val="nil"/>
      </w:pBdr>
      <w:tabs>
        <w:tab w:val="center" w:pos="4680"/>
        <w:tab w:val="right" w:pos="9360"/>
      </w:tabs>
      <w:ind w:right="360"/>
      <w:rPr>
        <w:color w:val="000000"/>
      </w:rPr>
    </w:pPr>
    <w:r>
      <w:rPr>
        <w:b/>
        <w:i/>
        <w:color w:val="000000"/>
      </w:rPr>
      <w:t>Journal Homepage</w:t>
    </w:r>
    <w:r>
      <w:rPr>
        <w:i/>
        <w:color w:val="000000"/>
      </w:rPr>
      <w:t xml:space="preserve"> : https://jurnal.intekom.id/index.php/inlaw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4FCD5" w14:textId="77777777" w:rsidR="006940AD" w:rsidRDefault="00DB2D64">
    <w:pPr>
      <w:pBdr>
        <w:top w:val="nil"/>
        <w:left w:val="nil"/>
        <w:bottom w:val="nil"/>
        <w:right w:val="nil"/>
        <w:between w:val="nil"/>
      </w:pBdr>
      <w:tabs>
        <w:tab w:val="center" w:pos="4680"/>
        <w:tab w:val="right" w:pos="9360"/>
      </w:tabs>
      <w:jc w:val="right"/>
      <w:rPr>
        <w:color w:val="000000"/>
      </w:rPr>
    </w:pPr>
    <w:r>
      <w:rPr>
        <w:color w:val="000000"/>
      </w:rPr>
      <w:t xml:space="preserve"> Page  </w:t>
    </w:r>
    <w:r>
      <w:rPr>
        <w:color w:val="000000"/>
      </w:rPr>
      <w:fldChar w:fldCharType="begin"/>
    </w:r>
    <w:r>
      <w:rPr>
        <w:color w:val="000000"/>
      </w:rPr>
      <w:instrText>PAGE</w:instrText>
    </w:r>
    <w:r>
      <w:rPr>
        <w:color w:val="000000"/>
      </w:rPr>
      <w:fldChar w:fldCharType="separate"/>
    </w:r>
    <w:r w:rsidR="003869F3">
      <w:rPr>
        <w:noProof/>
        <w:color w:val="000000"/>
      </w:rPr>
      <w:t>207</w:t>
    </w:r>
    <w:r>
      <w:rPr>
        <w:color w:val="000000"/>
      </w:rPr>
      <w:fldChar w:fldCharType="end"/>
    </w:r>
    <w:r>
      <w:rPr>
        <w:noProof/>
        <w:lang w:val="en-US"/>
      </w:rPr>
      <mc:AlternateContent>
        <mc:Choice Requires="wps">
          <w:drawing>
            <wp:anchor distT="0" distB="0" distL="0" distR="0" simplePos="0" relativeHeight="251662336" behindDoc="0" locked="0" layoutInCell="1" hidden="0" allowOverlap="1" wp14:anchorId="559DB24F" wp14:editId="1DCE6568">
              <wp:simplePos x="0" y="0"/>
              <wp:positionH relativeFrom="column">
                <wp:posOffset>0</wp:posOffset>
              </wp:positionH>
              <wp:positionV relativeFrom="paragraph">
                <wp:posOffset>165100</wp:posOffset>
              </wp:positionV>
              <wp:extent cx="0" cy="12700"/>
              <wp:effectExtent l="0" t="0" r="0" b="0"/>
              <wp:wrapNone/>
              <wp:docPr id="473575333" name="Straight Arrow Connector 473575333"/>
              <wp:cNvGraphicFramePr/>
              <a:graphic xmlns:a="http://schemas.openxmlformats.org/drawingml/2006/main">
                <a:graphicData uri="http://schemas.microsoft.com/office/word/2010/wordprocessingShape">
                  <wps:wsp>
                    <wps:cNvCnPr/>
                    <wps:spPr>
                      <a:xfrm>
                        <a:off x="2456408" y="3780000"/>
                        <a:ext cx="5779184" cy="0"/>
                      </a:xfrm>
                      <a:prstGeom prst="straightConnector1">
                        <a:avLst/>
                      </a:prstGeom>
                      <a:noFill/>
                      <a:ln w="9525" cap="flat" cmpd="sng">
                        <a:solidFill>
                          <a:srgbClr val="000000"/>
                        </a:solidFill>
                        <a:prstDash val="solid"/>
                        <a:miter lim="8000"/>
                        <a:headEnd type="none" w="med" len="med"/>
                        <a:tailEnd type="none"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0" cy="12700"/>
              <wp:effectExtent b="0" l="0" r="0" t="0"/>
              <wp:wrapNone/>
              <wp:docPr id="47357533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1C145677" w14:textId="77777777" w:rsidR="006940AD" w:rsidRDefault="00DB2D64">
    <w:pPr>
      <w:pBdr>
        <w:top w:val="nil"/>
        <w:left w:val="nil"/>
        <w:bottom w:val="nil"/>
        <w:right w:val="nil"/>
        <w:between w:val="nil"/>
      </w:pBdr>
      <w:tabs>
        <w:tab w:val="center" w:pos="4680"/>
        <w:tab w:val="right" w:pos="9360"/>
      </w:tabs>
      <w:ind w:right="360"/>
      <w:rPr>
        <w:color w:val="000000"/>
      </w:rPr>
    </w:pPr>
    <w:r>
      <w:rPr>
        <w:b/>
        <w:i/>
        <w:color w:val="000000"/>
      </w:rPr>
      <w:t>Journal Homepage</w:t>
    </w:r>
    <w:r>
      <w:rPr>
        <w:i/>
        <w:color w:val="000000"/>
      </w:rPr>
      <w:t xml:space="preserve"> : https://jurnal.intekom.id/index.php/inlaw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4EB4A" w14:textId="77777777" w:rsidR="004B1D41" w:rsidRDefault="004B1D41">
      <w:r>
        <w:separator/>
      </w:r>
    </w:p>
  </w:footnote>
  <w:footnote w:type="continuationSeparator" w:id="0">
    <w:p w14:paraId="10728EDD" w14:textId="77777777" w:rsidR="004B1D41" w:rsidRDefault="004B1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37BED" w14:textId="77777777" w:rsidR="006940AD" w:rsidRDefault="00DB2D64">
    <w:pPr>
      <w:shd w:val="clear" w:color="auto" w:fill="FFFFFF"/>
      <w:jc w:val="center"/>
      <w:rPr>
        <w:sz w:val="18"/>
        <w:szCs w:val="18"/>
      </w:rPr>
    </w:pPr>
    <w:r>
      <w:t xml:space="preserve">JURNAL DEWANTARA </w:t>
    </w:r>
    <w:r>
      <w:rPr>
        <w:sz w:val="18"/>
        <w:szCs w:val="18"/>
      </w:rPr>
      <w:t xml:space="preserve">: Ilmu Pengetahuan, Teknologi, dan Humaniora, Vol. </w:t>
    </w:r>
  </w:p>
  <w:p w14:paraId="4D35ECDE" w14:textId="77777777" w:rsidR="006940AD" w:rsidRDefault="006940AD">
    <w:pPr>
      <w:shd w:val="clear" w:color="auto" w:fill="FFFFFF"/>
      <w:jc w:val="center"/>
      <w:rPr>
        <w:sz w:val="18"/>
        <w:szCs w:val="18"/>
      </w:rPr>
    </w:pPr>
  </w:p>
  <w:p w14:paraId="28CCDC36" w14:textId="77777777" w:rsidR="006940AD" w:rsidRDefault="00DB2D64">
    <w:pPr>
      <w:shd w:val="clear" w:color="auto" w:fill="FFFFFF"/>
      <w:jc w:val="center"/>
      <w:rPr>
        <w:sz w:val="18"/>
        <w:szCs w:val="18"/>
      </w:rPr>
    </w:pPr>
    <w:r>
      <w:rPr>
        <w:sz w:val="18"/>
        <w:szCs w:val="18"/>
      </w:rPr>
      <w:t>, No. 1, Juni 2023: 1 - 7</w:t>
    </w:r>
    <w:r>
      <w:rPr>
        <w:noProof/>
        <w:lang w:val="en-US"/>
      </w:rPr>
      <mc:AlternateContent>
        <mc:Choice Requires="wpg">
          <w:drawing>
            <wp:anchor distT="0" distB="0" distL="114300" distR="114300" simplePos="0" relativeHeight="251660288" behindDoc="0" locked="0" layoutInCell="1" hidden="0" allowOverlap="1" wp14:anchorId="3A0C7FE3" wp14:editId="0C930940">
              <wp:simplePos x="0" y="0"/>
              <wp:positionH relativeFrom="column">
                <wp:posOffset>12701</wp:posOffset>
              </wp:positionH>
              <wp:positionV relativeFrom="paragraph">
                <wp:posOffset>139700</wp:posOffset>
              </wp:positionV>
              <wp:extent cx="22225" cy="22225"/>
              <wp:effectExtent l="0" t="0" r="0" b="0"/>
              <wp:wrapNone/>
              <wp:docPr id="473575335" name="Straight Arrow Connector 473575335"/>
              <wp:cNvGraphicFramePr/>
              <a:graphic xmlns:a="http://schemas.openxmlformats.org/drawingml/2006/main">
                <a:graphicData uri="http://schemas.microsoft.com/office/word/2010/wordprocessingShape">
                  <wps:wsp>
                    <wps:cNvCnPr/>
                    <wps:spPr>
                      <a:xfrm>
                        <a:off x="2520174" y="3780000"/>
                        <a:ext cx="565165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22225" cy="22225"/>
              <wp:effectExtent b="0" l="0" r="0" t="0"/>
              <wp:wrapNone/>
              <wp:docPr id="473575335"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2225" cy="2222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0E580" w14:textId="77777777" w:rsidR="006940AD" w:rsidRDefault="00DB2D64">
    <w:pPr>
      <w:shd w:val="clear" w:color="auto" w:fill="FFFFFF"/>
      <w:rPr>
        <w:b/>
        <w:sz w:val="17"/>
        <w:szCs w:val="17"/>
      </w:rPr>
    </w:pPr>
    <w:r>
      <w:rPr>
        <w:b/>
        <w:sz w:val="21"/>
        <w:szCs w:val="21"/>
      </w:rPr>
      <w:t xml:space="preserve">INLAW : </w:t>
    </w:r>
    <w:r>
      <w:rPr>
        <w:b/>
        <w:sz w:val="21"/>
        <w:szCs w:val="21"/>
        <w:highlight w:val="white"/>
      </w:rPr>
      <w:t>Indonesian Journal of Law</w:t>
    </w:r>
    <w:r>
      <w:rPr>
        <w:b/>
        <w:sz w:val="21"/>
        <w:szCs w:val="21"/>
        <w:highlight w:val="white"/>
      </w:rPr>
      <w:tab/>
    </w:r>
    <w:r>
      <w:rPr>
        <w:b/>
        <w:sz w:val="21"/>
        <w:szCs w:val="21"/>
        <w:highlight w:val="white"/>
      </w:rPr>
      <w:tab/>
    </w:r>
    <w:r>
      <w:rPr>
        <w:b/>
        <w:sz w:val="21"/>
        <w:szCs w:val="21"/>
        <w:highlight w:val="white"/>
      </w:rPr>
      <w:tab/>
    </w:r>
    <w:r>
      <w:rPr>
        <w:b/>
        <w:sz w:val="21"/>
        <w:szCs w:val="21"/>
        <w:highlight w:val="white"/>
      </w:rPr>
      <w:tab/>
    </w:r>
    <w:r>
      <w:rPr>
        <w:b/>
        <w:sz w:val="21"/>
        <w:szCs w:val="21"/>
        <w:highlight w:val="white"/>
      </w:rPr>
      <w:tab/>
    </w:r>
    <w:r>
      <w:rPr>
        <w:b/>
        <w:sz w:val="21"/>
        <w:szCs w:val="21"/>
      </w:rPr>
      <w:tab/>
      <w:t>E-ISSN : 3032-3622</w:t>
    </w:r>
  </w:p>
  <w:p w14:paraId="69C15CB4" w14:textId="0E591807" w:rsidR="006940AD" w:rsidRDefault="00DB2D64">
    <w:pPr>
      <w:shd w:val="clear" w:color="auto" w:fill="FFFFFF"/>
      <w:rPr>
        <w:b/>
        <w:sz w:val="21"/>
        <w:szCs w:val="21"/>
      </w:rPr>
    </w:pPr>
    <w:r>
      <w:rPr>
        <w:b/>
        <w:sz w:val="21"/>
        <w:szCs w:val="21"/>
      </w:rPr>
      <w:t xml:space="preserve">Vol. 1, No. </w:t>
    </w:r>
    <w:r w:rsidR="00020641">
      <w:rPr>
        <w:b/>
        <w:sz w:val="21"/>
        <w:szCs w:val="21"/>
      </w:rPr>
      <w:t>10</w:t>
    </w:r>
    <w:r>
      <w:rPr>
        <w:b/>
        <w:sz w:val="21"/>
        <w:szCs w:val="21"/>
      </w:rPr>
      <w:t xml:space="preserve">, </w:t>
    </w:r>
    <w:r w:rsidR="00020641">
      <w:rPr>
        <w:b/>
        <w:sz w:val="21"/>
        <w:szCs w:val="21"/>
      </w:rPr>
      <w:t>Oktober</w:t>
    </w:r>
    <w:r>
      <w:rPr>
        <w:b/>
        <w:sz w:val="21"/>
        <w:szCs w:val="21"/>
      </w:rPr>
      <w:t xml:space="preserve"> 2024, Hal 2</w:t>
    </w:r>
    <w:r w:rsidR="00F47F31">
      <w:rPr>
        <w:b/>
        <w:sz w:val="21"/>
        <w:szCs w:val="21"/>
      </w:rPr>
      <w:t>4</w:t>
    </w:r>
    <w:r w:rsidR="00FF3F0F">
      <w:rPr>
        <w:b/>
        <w:sz w:val="21"/>
        <w:szCs w:val="21"/>
      </w:rPr>
      <w:t>9-256</w:t>
    </w:r>
    <w:r>
      <w:rPr>
        <w:b/>
        <w:sz w:val="21"/>
        <w:szCs w:val="21"/>
      </w:rPr>
      <w:tab/>
    </w:r>
    <w:r>
      <w:rPr>
        <w:b/>
        <w:sz w:val="21"/>
        <w:szCs w:val="21"/>
      </w:rPr>
      <w:tab/>
    </w:r>
    <w:r>
      <w:rPr>
        <w:b/>
        <w:sz w:val="21"/>
        <w:szCs w:val="21"/>
      </w:rPr>
      <w:tab/>
    </w:r>
    <w:r>
      <w:rPr>
        <w:b/>
        <w:sz w:val="21"/>
        <w:szCs w:val="21"/>
      </w:rPr>
      <w:tab/>
    </w:r>
    <w:r>
      <w:rPr>
        <w:b/>
        <w:sz w:val="21"/>
        <w:szCs w:val="21"/>
      </w:rPr>
      <w:tab/>
      <w:t xml:space="preserve">P-ISSN : 3032-3614 </w:t>
    </w:r>
  </w:p>
  <w:p w14:paraId="3A0E5350" w14:textId="1C5056AE" w:rsidR="006940AD" w:rsidRDefault="00111CCF">
    <w:r>
      <w:rPr>
        <w:b/>
        <w:noProof/>
      </w:rPr>
      <mc:AlternateContent>
        <mc:Choice Requires="wps">
          <w:drawing>
            <wp:anchor distT="0" distB="0" distL="114300" distR="114300" simplePos="0" relativeHeight="251665408" behindDoc="0" locked="0" layoutInCell="1" allowOverlap="1" wp14:anchorId="511A0164" wp14:editId="6DB438EF">
              <wp:simplePos x="0" y="0"/>
              <wp:positionH relativeFrom="column">
                <wp:posOffset>0</wp:posOffset>
              </wp:positionH>
              <wp:positionV relativeFrom="paragraph">
                <wp:posOffset>-635</wp:posOffset>
              </wp:positionV>
              <wp:extent cx="5749290" cy="0"/>
              <wp:effectExtent l="0" t="0" r="16510" b="12700"/>
              <wp:wrapNone/>
              <wp:docPr id="1907538904" name="Straight Connector 7"/>
              <wp:cNvGraphicFramePr/>
              <a:graphic xmlns:a="http://schemas.openxmlformats.org/drawingml/2006/main">
                <a:graphicData uri="http://schemas.microsoft.com/office/word/2010/wordprocessingShape">
                  <wps:wsp>
                    <wps:cNvCnPr/>
                    <wps:spPr>
                      <a:xfrm>
                        <a:off x="0" y="0"/>
                        <a:ext cx="57492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7479B8"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452.7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" strokecolor="black [3040]"/>
          </w:pict>
        </mc:Fallback>
      </mc:AlternateContent>
    </w:r>
    <w:r w:rsidR="00DB2D64">
      <w:rPr>
        <w:noProof/>
        <w:lang w:val="en-US"/>
      </w:rPr>
      <mc:AlternateContent>
        <mc:Choice Requires="wps">
          <w:drawing>
            <wp:anchor distT="0" distB="0" distL="0" distR="0" simplePos="0" relativeHeight="251658240" behindDoc="0" locked="0" layoutInCell="1" hidden="0" allowOverlap="1" wp14:anchorId="7FD6914C" wp14:editId="65910186">
              <wp:simplePos x="0" y="0"/>
              <wp:positionH relativeFrom="column">
                <wp:posOffset>0</wp:posOffset>
              </wp:positionH>
              <wp:positionV relativeFrom="paragraph">
                <wp:posOffset>0</wp:posOffset>
              </wp:positionV>
              <wp:extent cx="0" cy="12700"/>
              <wp:effectExtent l="0" t="0" r="0" b="0"/>
              <wp:wrapNone/>
              <wp:docPr id="473575331" name="Straight Arrow Connector 473575331"/>
              <wp:cNvGraphicFramePr/>
              <a:graphic xmlns:a="http://schemas.openxmlformats.org/drawingml/2006/main">
                <a:graphicData uri="http://schemas.microsoft.com/office/word/2010/wordprocessingShape">
                  <wps:wsp>
                    <wps:cNvCnPr/>
                    <wps:spPr>
                      <a:xfrm>
                        <a:off x="2517075" y="3780000"/>
                        <a:ext cx="5657850" cy="0"/>
                      </a:xfrm>
                      <a:prstGeom prst="straightConnector1">
                        <a:avLst/>
                      </a:prstGeom>
                      <a:noFill/>
                      <a:ln w="9525" cap="flat" cmpd="sng">
                        <a:solidFill>
                          <a:srgbClr val="000000"/>
                        </a:solidFill>
                        <a:prstDash val="solid"/>
                        <a:miter lim="8000"/>
                        <a:headEnd type="none" w="med" len="med"/>
                        <a:tailEnd type="none"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0" cy="12700"/>
              <wp:effectExtent b="0" l="0" r="0" t="0"/>
              <wp:wrapNone/>
              <wp:docPr id="47357533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22343" w14:textId="77777777" w:rsidR="006940AD" w:rsidRDefault="006940AD">
    <w:pPr>
      <w:widowControl w:val="0"/>
      <w:pBdr>
        <w:top w:val="nil"/>
        <w:left w:val="nil"/>
        <w:bottom w:val="nil"/>
        <w:right w:val="nil"/>
        <w:between w:val="nil"/>
      </w:pBdr>
      <w:spacing w:line="276" w:lineRule="auto"/>
    </w:pPr>
  </w:p>
  <w:tbl>
    <w:tblPr>
      <w:tblStyle w:val="a3"/>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3"/>
      <w:gridCol w:w="3544"/>
      <w:gridCol w:w="3935"/>
    </w:tblGrid>
    <w:tr w:rsidR="006940AD" w14:paraId="24D4F00C" w14:textId="77777777">
      <w:trPr>
        <w:trHeight w:val="836"/>
      </w:trPr>
      <w:tc>
        <w:tcPr>
          <w:tcW w:w="1593" w:type="dxa"/>
          <w:vMerge w:val="restart"/>
        </w:tcPr>
        <w:p w14:paraId="3CAFAB97" w14:textId="77777777" w:rsidR="006940AD" w:rsidRDefault="00DB2D64">
          <w:pPr>
            <w:pBdr>
              <w:top w:val="nil"/>
              <w:left w:val="nil"/>
              <w:bottom w:val="nil"/>
              <w:right w:val="nil"/>
              <w:between w:val="nil"/>
            </w:pBdr>
            <w:tabs>
              <w:tab w:val="center" w:pos="4680"/>
              <w:tab w:val="right" w:pos="9360"/>
              <w:tab w:val="left" w:pos="1843"/>
            </w:tabs>
            <w:ind w:right="1133"/>
            <w:jc w:val="center"/>
            <w:rPr>
              <w:b/>
              <w:color w:val="000000"/>
              <w:sz w:val="22"/>
              <w:szCs w:val="22"/>
            </w:rPr>
          </w:pPr>
          <w:r>
            <w:rPr>
              <w:noProof/>
              <w:lang w:val="en-US"/>
            </w:rPr>
            <w:drawing>
              <wp:anchor distT="0" distB="0" distL="114300" distR="114300" simplePos="0" relativeHeight="251659264" behindDoc="0" locked="0" layoutInCell="1" hidden="0" allowOverlap="1" wp14:anchorId="7F84CC05" wp14:editId="2493CFF5">
                <wp:simplePos x="0" y="0"/>
                <wp:positionH relativeFrom="column">
                  <wp:posOffset>-46354</wp:posOffset>
                </wp:positionH>
                <wp:positionV relativeFrom="paragraph">
                  <wp:posOffset>47856</wp:posOffset>
                </wp:positionV>
                <wp:extent cx="1018309" cy="1018309"/>
                <wp:effectExtent l="0" t="0" r="0" b="0"/>
                <wp:wrapNone/>
                <wp:docPr id="473575336" name="image1.png" descr="A yellow star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star on a black background&#10;&#10;Description automatically generated"/>
                        <pic:cNvPicPr preferRelativeResize="0"/>
                      </pic:nvPicPr>
                      <pic:blipFill>
                        <a:blip r:embed="rId1"/>
                        <a:srcRect/>
                        <a:stretch>
                          <a:fillRect/>
                        </a:stretch>
                      </pic:blipFill>
                      <pic:spPr>
                        <a:xfrm>
                          <a:off x="0" y="0"/>
                          <a:ext cx="1018309" cy="1018309"/>
                        </a:xfrm>
                        <a:prstGeom prst="rect">
                          <a:avLst/>
                        </a:prstGeom>
                        <a:ln/>
                      </pic:spPr>
                    </pic:pic>
                  </a:graphicData>
                </a:graphic>
              </wp:anchor>
            </w:drawing>
          </w:r>
        </w:p>
      </w:tc>
      <w:tc>
        <w:tcPr>
          <w:tcW w:w="7479" w:type="dxa"/>
          <w:gridSpan w:val="2"/>
          <w:vAlign w:val="center"/>
        </w:tcPr>
        <w:p w14:paraId="3A568910" w14:textId="77777777" w:rsidR="006940AD" w:rsidRDefault="00DB2D64">
          <w:pPr>
            <w:pBdr>
              <w:top w:val="nil"/>
              <w:left w:val="nil"/>
              <w:bottom w:val="nil"/>
              <w:right w:val="nil"/>
              <w:between w:val="nil"/>
            </w:pBdr>
            <w:tabs>
              <w:tab w:val="center" w:pos="4680"/>
              <w:tab w:val="right" w:pos="9360"/>
              <w:tab w:val="left" w:pos="1843"/>
            </w:tabs>
            <w:ind w:left="-113" w:right="-108"/>
            <w:jc w:val="center"/>
            <w:rPr>
              <w:b/>
              <w:color w:val="FFBE58"/>
              <w:sz w:val="48"/>
              <w:szCs w:val="48"/>
              <w:highlight w:val="white"/>
            </w:rPr>
          </w:pPr>
          <w:r>
            <w:rPr>
              <w:b/>
              <w:color w:val="000000"/>
              <w:sz w:val="48"/>
              <w:szCs w:val="48"/>
              <w:highlight w:val="white"/>
            </w:rPr>
            <w:t>Indonesian Journal of Law</w:t>
          </w:r>
        </w:p>
      </w:tc>
    </w:tr>
    <w:tr w:rsidR="006940AD" w14:paraId="1FE0C215" w14:textId="77777777">
      <w:trPr>
        <w:trHeight w:val="552"/>
      </w:trPr>
      <w:tc>
        <w:tcPr>
          <w:tcW w:w="1593" w:type="dxa"/>
          <w:vMerge/>
        </w:tcPr>
        <w:p w14:paraId="1809CFE8" w14:textId="77777777" w:rsidR="006940AD" w:rsidRDefault="006940AD">
          <w:pPr>
            <w:widowControl w:val="0"/>
            <w:pBdr>
              <w:top w:val="nil"/>
              <w:left w:val="nil"/>
              <w:bottom w:val="nil"/>
              <w:right w:val="nil"/>
              <w:between w:val="nil"/>
            </w:pBdr>
            <w:spacing w:line="276" w:lineRule="auto"/>
            <w:rPr>
              <w:b/>
              <w:color w:val="FFBE58"/>
              <w:sz w:val="48"/>
              <w:szCs w:val="48"/>
              <w:highlight w:val="white"/>
            </w:rPr>
          </w:pPr>
        </w:p>
      </w:tc>
      <w:tc>
        <w:tcPr>
          <w:tcW w:w="3544" w:type="dxa"/>
        </w:tcPr>
        <w:p w14:paraId="4B79BF10" w14:textId="0E5661D8" w:rsidR="006940AD" w:rsidRDefault="00DB2D64">
          <w:pPr>
            <w:pBdr>
              <w:top w:val="nil"/>
              <w:left w:val="nil"/>
              <w:bottom w:val="nil"/>
              <w:right w:val="nil"/>
              <w:between w:val="nil"/>
            </w:pBdr>
            <w:tabs>
              <w:tab w:val="center" w:pos="4680"/>
              <w:tab w:val="right" w:pos="9360"/>
              <w:tab w:val="left" w:pos="1560"/>
              <w:tab w:val="left" w:pos="1843"/>
            </w:tabs>
            <w:ind w:left="-36" w:right="-195"/>
            <w:jc w:val="center"/>
            <w:rPr>
              <w:color w:val="000000"/>
              <w:sz w:val="22"/>
              <w:szCs w:val="22"/>
            </w:rPr>
          </w:pPr>
          <w:r>
            <w:rPr>
              <w:color w:val="000000"/>
              <w:sz w:val="22"/>
              <w:szCs w:val="22"/>
            </w:rPr>
            <w:t xml:space="preserve">Vol. 1, No. </w:t>
          </w:r>
          <w:r w:rsidR="00020641">
            <w:rPr>
              <w:color w:val="000000"/>
              <w:sz w:val="22"/>
              <w:szCs w:val="22"/>
            </w:rPr>
            <w:t>10</w:t>
          </w:r>
          <w:r>
            <w:rPr>
              <w:color w:val="000000"/>
              <w:sz w:val="22"/>
              <w:szCs w:val="22"/>
            </w:rPr>
            <w:t xml:space="preserve">, </w:t>
          </w:r>
          <w:r w:rsidR="00020641">
            <w:rPr>
              <w:color w:val="000000"/>
              <w:sz w:val="22"/>
              <w:szCs w:val="22"/>
            </w:rPr>
            <w:t>Oktober</w:t>
          </w:r>
          <w:r>
            <w:rPr>
              <w:color w:val="000000"/>
              <w:sz w:val="22"/>
              <w:szCs w:val="22"/>
            </w:rPr>
            <w:t xml:space="preserve"> 2024</w:t>
          </w:r>
        </w:p>
        <w:p w14:paraId="18A3A31B" w14:textId="07C28489" w:rsidR="006940AD" w:rsidRDefault="00DB2D64">
          <w:pPr>
            <w:pBdr>
              <w:top w:val="nil"/>
              <w:left w:val="nil"/>
              <w:bottom w:val="nil"/>
              <w:right w:val="nil"/>
              <w:between w:val="nil"/>
            </w:pBdr>
            <w:tabs>
              <w:tab w:val="center" w:pos="4680"/>
              <w:tab w:val="right" w:pos="9360"/>
              <w:tab w:val="left" w:pos="1560"/>
              <w:tab w:val="left" w:pos="1843"/>
            </w:tabs>
            <w:ind w:left="-36" w:right="-195"/>
            <w:jc w:val="center"/>
            <w:rPr>
              <w:color w:val="000000"/>
              <w:sz w:val="22"/>
              <w:szCs w:val="22"/>
            </w:rPr>
          </w:pPr>
          <w:r>
            <w:rPr>
              <w:color w:val="000000"/>
              <w:sz w:val="22"/>
              <w:szCs w:val="22"/>
            </w:rPr>
            <w:t>Hal 2</w:t>
          </w:r>
          <w:r w:rsidR="00F47F31">
            <w:rPr>
              <w:color w:val="000000"/>
              <w:sz w:val="22"/>
              <w:szCs w:val="22"/>
            </w:rPr>
            <w:t>4</w:t>
          </w:r>
          <w:r w:rsidR="00FF3F0F">
            <w:rPr>
              <w:color w:val="000000"/>
              <w:sz w:val="22"/>
              <w:szCs w:val="22"/>
            </w:rPr>
            <w:t>9</w:t>
          </w:r>
          <w:r>
            <w:rPr>
              <w:color w:val="000000"/>
              <w:sz w:val="22"/>
              <w:szCs w:val="22"/>
            </w:rPr>
            <w:t>-2</w:t>
          </w:r>
          <w:r w:rsidR="00FF3F0F">
            <w:rPr>
              <w:color w:val="000000"/>
              <w:sz w:val="22"/>
              <w:szCs w:val="22"/>
            </w:rPr>
            <w:t>56</w:t>
          </w:r>
        </w:p>
      </w:tc>
      <w:tc>
        <w:tcPr>
          <w:tcW w:w="3935" w:type="dxa"/>
        </w:tcPr>
        <w:p w14:paraId="58B4F190" w14:textId="77777777" w:rsidR="006940AD" w:rsidRDefault="00DB2D64">
          <w:pPr>
            <w:pBdr>
              <w:top w:val="nil"/>
              <w:left w:val="nil"/>
              <w:bottom w:val="nil"/>
              <w:right w:val="nil"/>
              <w:between w:val="nil"/>
            </w:pBdr>
            <w:tabs>
              <w:tab w:val="center" w:pos="4680"/>
              <w:tab w:val="right" w:pos="9360"/>
              <w:tab w:val="left" w:pos="1560"/>
            </w:tabs>
            <w:ind w:left="-110" w:right="-109"/>
            <w:jc w:val="center"/>
            <w:rPr>
              <w:color w:val="000000"/>
              <w:sz w:val="22"/>
              <w:szCs w:val="22"/>
            </w:rPr>
          </w:pPr>
          <w:r>
            <w:rPr>
              <w:color w:val="000000"/>
              <w:sz w:val="22"/>
              <w:szCs w:val="22"/>
            </w:rPr>
            <w:t xml:space="preserve">E-ISSN: </w:t>
          </w:r>
          <w:r>
            <w:rPr>
              <w:color w:val="000000"/>
              <w:sz w:val="24"/>
              <w:szCs w:val="24"/>
            </w:rPr>
            <w:t>3032-3622</w:t>
          </w:r>
        </w:p>
        <w:p w14:paraId="30A40857" w14:textId="77777777" w:rsidR="006940AD" w:rsidRDefault="00DB2D64">
          <w:pPr>
            <w:pBdr>
              <w:top w:val="nil"/>
              <w:left w:val="nil"/>
              <w:bottom w:val="nil"/>
              <w:right w:val="nil"/>
              <w:between w:val="nil"/>
            </w:pBdr>
            <w:tabs>
              <w:tab w:val="center" w:pos="4680"/>
              <w:tab w:val="right" w:pos="9360"/>
              <w:tab w:val="left" w:pos="1560"/>
            </w:tabs>
            <w:ind w:left="-110" w:right="-109"/>
            <w:jc w:val="center"/>
            <w:rPr>
              <w:color w:val="000000"/>
              <w:sz w:val="22"/>
              <w:szCs w:val="22"/>
            </w:rPr>
          </w:pPr>
          <w:r>
            <w:rPr>
              <w:color w:val="000000"/>
              <w:sz w:val="22"/>
              <w:szCs w:val="22"/>
            </w:rPr>
            <w:t>P-ISSN:</w:t>
          </w:r>
          <w:r>
            <w:rPr>
              <w:b/>
              <w:color w:val="000000"/>
              <w:sz w:val="22"/>
              <w:szCs w:val="22"/>
            </w:rPr>
            <w:t xml:space="preserve"> </w:t>
          </w:r>
          <w:r>
            <w:rPr>
              <w:color w:val="000000"/>
              <w:sz w:val="24"/>
              <w:szCs w:val="24"/>
            </w:rPr>
            <w:t>3032-3614</w:t>
          </w:r>
        </w:p>
      </w:tc>
    </w:tr>
    <w:tr w:rsidR="006940AD" w14:paraId="7F351B7A" w14:textId="77777777">
      <w:tc>
        <w:tcPr>
          <w:tcW w:w="1593" w:type="dxa"/>
          <w:vMerge/>
        </w:tcPr>
        <w:p w14:paraId="0C825641" w14:textId="77777777" w:rsidR="006940AD" w:rsidRDefault="006940AD">
          <w:pPr>
            <w:widowControl w:val="0"/>
            <w:pBdr>
              <w:top w:val="nil"/>
              <w:left w:val="nil"/>
              <w:bottom w:val="nil"/>
              <w:right w:val="nil"/>
              <w:between w:val="nil"/>
            </w:pBdr>
            <w:spacing w:line="276" w:lineRule="auto"/>
            <w:rPr>
              <w:color w:val="000000"/>
              <w:sz w:val="22"/>
              <w:szCs w:val="22"/>
            </w:rPr>
          </w:pPr>
        </w:p>
      </w:tc>
      <w:tc>
        <w:tcPr>
          <w:tcW w:w="7479" w:type="dxa"/>
          <w:gridSpan w:val="2"/>
        </w:tcPr>
        <w:p w14:paraId="7F33BF0C" w14:textId="77777777" w:rsidR="006940AD" w:rsidRDefault="00DB2D64">
          <w:pPr>
            <w:pBdr>
              <w:top w:val="nil"/>
              <w:left w:val="nil"/>
              <w:bottom w:val="nil"/>
              <w:right w:val="nil"/>
              <w:between w:val="nil"/>
            </w:pBdr>
            <w:tabs>
              <w:tab w:val="center" w:pos="4680"/>
              <w:tab w:val="right" w:pos="9360"/>
              <w:tab w:val="left" w:pos="0"/>
            </w:tabs>
            <w:ind w:left="-178" w:right="-108"/>
            <w:jc w:val="center"/>
            <w:rPr>
              <w:i/>
              <w:color w:val="000000"/>
              <w:sz w:val="22"/>
              <w:szCs w:val="22"/>
            </w:rPr>
          </w:pPr>
          <w:r>
            <w:rPr>
              <w:i/>
              <w:color w:val="000000"/>
              <w:sz w:val="22"/>
              <w:szCs w:val="22"/>
            </w:rPr>
            <w:t>Site: https://jurnal.intekom.id/index.php/inlaw</w:t>
          </w:r>
        </w:p>
      </w:tc>
    </w:tr>
  </w:tbl>
  <w:p w14:paraId="336C1BB8" w14:textId="77777777" w:rsidR="006940AD" w:rsidRDefault="006940A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D2B5D"/>
    <w:multiLevelType w:val="multilevel"/>
    <w:tmpl w:val="A0D0E1B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527DBA"/>
    <w:multiLevelType w:val="hybridMultilevel"/>
    <w:tmpl w:val="4886B87C"/>
    <w:styleLink w:val="ImportedStyle2"/>
    <w:lvl w:ilvl="0" w:tplc="DE9205B4">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350C9AA2">
      <w:start w:val="1"/>
      <w:numFmt w:val="lowerLetter"/>
      <w:lvlText w:val="%2."/>
      <w:lvlJc w:val="left"/>
      <w:pPr>
        <w:ind w:left="1170" w:hanging="450"/>
      </w:pPr>
      <w:rPr>
        <w:rFonts w:hAnsi="Arial Unicode MS"/>
        <w:caps w:val="0"/>
        <w:smallCaps w:val="0"/>
        <w:strike w:val="0"/>
        <w:dstrike w:val="0"/>
        <w:outline w:val="0"/>
        <w:emboss w:val="0"/>
        <w:imprint w:val="0"/>
        <w:spacing w:val="0"/>
        <w:w w:val="100"/>
        <w:kern w:val="0"/>
        <w:position w:val="0"/>
        <w:highlight w:val="none"/>
        <w:vertAlign w:val="baseline"/>
      </w:rPr>
    </w:lvl>
    <w:lvl w:ilvl="2" w:tplc="C5BE8A80">
      <w:start w:val="1"/>
      <w:numFmt w:val="lowerRoman"/>
      <w:lvlText w:val="%3."/>
      <w:lvlJc w:val="left"/>
      <w:pPr>
        <w:ind w:left="189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F858E400">
      <w:start w:val="1"/>
      <w:numFmt w:val="decimal"/>
      <w:lvlText w:val="%4."/>
      <w:lvlJc w:val="left"/>
      <w:pPr>
        <w:ind w:left="2610" w:hanging="450"/>
      </w:pPr>
      <w:rPr>
        <w:rFonts w:hAnsi="Arial Unicode MS"/>
        <w:caps w:val="0"/>
        <w:smallCaps w:val="0"/>
        <w:strike w:val="0"/>
        <w:dstrike w:val="0"/>
        <w:outline w:val="0"/>
        <w:emboss w:val="0"/>
        <w:imprint w:val="0"/>
        <w:spacing w:val="0"/>
        <w:w w:val="100"/>
        <w:kern w:val="0"/>
        <w:position w:val="0"/>
        <w:highlight w:val="none"/>
        <w:vertAlign w:val="baseline"/>
      </w:rPr>
    </w:lvl>
    <w:lvl w:ilvl="4" w:tplc="5160286A">
      <w:start w:val="1"/>
      <w:numFmt w:val="lowerLetter"/>
      <w:lvlText w:val="%5."/>
      <w:lvlJc w:val="left"/>
      <w:pPr>
        <w:ind w:left="3330" w:hanging="450"/>
      </w:pPr>
      <w:rPr>
        <w:rFonts w:hAnsi="Arial Unicode MS"/>
        <w:caps w:val="0"/>
        <w:smallCaps w:val="0"/>
        <w:strike w:val="0"/>
        <w:dstrike w:val="0"/>
        <w:outline w:val="0"/>
        <w:emboss w:val="0"/>
        <w:imprint w:val="0"/>
        <w:spacing w:val="0"/>
        <w:w w:val="100"/>
        <w:kern w:val="0"/>
        <w:position w:val="0"/>
        <w:highlight w:val="none"/>
        <w:vertAlign w:val="baseline"/>
      </w:rPr>
    </w:lvl>
    <w:lvl w:ilvl="5" w:tplc="CD582594">
      <w:start w:val="1"/>
      <w:numFmt w:val="lowerRoman"/>
      <w:lvlText w:val="%6."/>
      <w:lvlJc w:val="left"/>
      <w:pPr>
        <w:ind w:left="405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297271E8">
      <w:start w:val="1"/>
      <w:numFmt w:val="decimal"/>
      <w:lvlText w:val="%7."/>
      <w:lvlJc w:val="left"/>
      <w:pPr>
        <w:ind w:left="4770" w:hanging="450"/>
      </w:pPr>
      <w:rPr>
        <w:rFonts w:hAnsi="Arial Unicode MS"/>
        <w:caps w:val="0"/>
        <w:smallCaps w:val="0"/>
        <w:strike w:val="0"/>
        <w:dstrike w:val="0"/>
        <w:outline w:val="0"/>
        <w:emboss w:val="0"/>
        <w:imprint w:val="0"/>
        <w:spacing w:val="0"/>
        <w:w w:val="100"/>
        <w:kern w:val="0"/>
        <w:position w:val="0"/>
        <w:highlight w:val="none"/>
        <w:vertAlign w:val="baseline"/>
      </w:rPr>
    </w:lvl>
    <w:lvl w:ilvl="7" w:tplc="7222E8D4">
      <w:start w:val="1"/>
      <w:numFmt w:val="lowerLetter"/>
      <w:lvlText w:val="%8."/>
      <w:lvlJc w:val="left"/>
      <w:pPr>
        <w:ind w:left="5490" w:hanging="450"/>
      </w:pPr>
      <w:rPr>
        <w:rFonts w:hAnsi="Arial Unicode MS"/>
        <w:caps w:val="0"/>
        <w:smallCaps w:val="0"/>
        <w:strike w:val="0"/>
        <w:dstrike w:val="0"/>
        <w:outline w:val="0"/>
        <w:emboss w:val="0"/>
        <w:imprint w:val="0"/>
        <w:spacing w:val="0"/>
        <w:w w:val="100"/>
        <w:kern w:val="0"/>
        <w:position w:val="0"/>
        <w:highlight w:val="none"/>
        <w:vertAlign w:val="baseline"/>
      </w:rPr>
    </w:lvl>
    <w:lvl w:ilvl="8" w:tplc="9B4E8360">
      <w:start w:val="1"/>
      <w:numFmt w:val="lowerRoman"/>
      <w:lvlText w:val="%9."/>
      <w:lvlJc w:val="left"/>
      <w:pPr>
        <w:ind w:left="621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335A6B"/>
    <w:multiLevelType w:val="hybridMultilevel"/>
    <w:tmpl w:val="9A6CCED8"/>
    <w:numStyleLink w:val="ImportedStyle4"/>
  </w:abstractNum>
  <w:abstractNum w:abstractNumId="3" w15:restartNumberingAfterBreak="0">
    <w:nsid w:val="168936E0"/>
    <w:multiLevelType w:val="hybridMultilevel"/>
    <w:tmpl w:val="EAB8317C"/>
    <w:styleLink w:val="ImportedStyle6"/>
    <w:lvl w:ilvl="0" w:tplc="C95EACB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5A55A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C4DF20">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38420E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D49CE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1C4906">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39E162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7684B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A4799C">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CDD7DE0"/>
    <w:multiLevelType w:val="hybridMultilevel"/>
    <w:tmpl w:val="4886B87C"/>
    <w:numStyleLink w:val="ImportedStyle2"/>
  </w:abstractNum>
  <w:abstractNum w:abstractNumId="5" w15:restartNumberingAfterBreak="0">
    <w:nsid w:val="26EF46DA"/>
    <w:multiLevelType w:val="hybridMultilevel"/>
    <w:tmpl w:val="AFAE5914"/>
    <w:numStyleLink w:val="ImportedStyle8"/>
  </w:abstractNum>
  <w:abstractNum w:abstractNumId="6" w15:restartNumberingAfterBreak="0">
    <w:nsid w:val="29C818BA"/>
    <w:multiLevelType w:val="hybridMultilevel"/>
    <w:tmpl w:val="9A6CCED8"/>
    <w:styleLink w:val="ImportedStyle4"/>
    <w:lvl w:ilvl="0" w:tplc="D0284362">
      <w:start w:val="1"/>
      <w:numFmt w:val="lowerLetter"/>
      <w:lvlText w:val="%1."/>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24BD7E">
      <w:start w:val="1"/>
      <w:numFmt w:val="lowerLetter"/>
      <w:lvlText w:val="%2."/>
      <w:lvlJc w:val="left"/>
      <w:pPr>
        <w:tabs>
          <w:tab w:val="left" w:pos="1530"/>
        </w:tabs>
        <w:ind w:left="2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1E5840">
      <w:start w:val="1"/>
      <w:numFmt w:val="lowerRoman"/>
      <w:lvlText w:val="%3."/>
      <w:lvlJc w:val="left"/>
      <w:pPr>
        <w:tabs>
          <w:tab w:val="left" w:pos="1530"/>
        </w:tabs>
        <w:ind w:left="297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22C5E0A">
      <w:start w:val="1"/>
      <w:numFmt w:val="decimal"/>
      <w:lvlText w:val="%4."/>
      <w:lvlJc w:val="left"/>
      <w:pPr>
        <w:tabs>
          <w:tab w:val="left" w:pos="1530"/>
        </w:tabs>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C00914">
      <w:start w:val="1"/>
      <w:numFmt w:val="lowerLetter"/>
      <w:lvlText w:val="%5."/>
      <w:lvlJc w:val="left"/>
      <w:pPr>
        <w:tabs>
          <w:tab w:val="left" w:pos="1530"/>
        </w:tabs>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67B1E">
      <w:start w:val="1"/>
      <w:numFmt w:val="lowerRoman"/>
      <w:lvlText w:val="%6."/>
      <w:lvlJc w:val="left"/>
      <w:pPr>
        <w:tabs>
          <w:tab w:val="left" w:pos="1530"/>
        </w:tabs>
        <w:ind w:left="513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71AE8C6">
      <w:start w:val="1"/>
      <w:numFmt w:val="decimal"/>
      <w:lvlText w:val="%7."/>
      <w:lvlJc w:val="left"/>
      <w:pPr>
        <w:tabs>
          <w:tab w:val="left" w:pos="1530"/>
        </w:tabs>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96E4E2">
      <w:start w:val="1"/>
      <w:numFmt w:val="lowerLetter"/>
      <w:lvlText w:val="%8."/>
      <w:lvlJc w:val="left"/>
      <w:pPr>
        <w:tabs>
          <w:tab w:val="left" w:pos="1530"/>
        </w:tabs>
        <w:ind w:left="6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0A7D1E">
      <w:start w:val="1"/>
      <w:numFmt w:val="lowerRoman"/>
      <w:lvlText w:val="%9."/>
      <w:lvlJc w:val="left"/>
      <w:pPr>
        <w:tabs>
          <w:tab w:val="left" w:pos="1530"/>
        </w:tabs>
        <w:ind w:left="729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0560792"/>
    <w:multiLevelType w:val="hybridMultilevel"/>
    <w:tmpl w:val="0E985C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34A60B1"/>
    <w:multiLevelType w:val="multilevel"/>
    <w:tmpl w:val="73AAA8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7311F19"/>
    <w:multiLevelType w:val="hybridMultilevel"/>
    <w:tmpl w:val="853EF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62E50"/>
    <w:multiLevelType w:val="hybridMultilevel"/>
    <w:tmpl w:val="8E78FC82"/>
    <w:lvl w:ilvl="0" w:tplc="EDF6961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465626E1"/>
    <w:multiLevelType w:val="hybridMultilevel"/>
    <w:tmpl w:val="91D8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B16AD"/>
    <w:multiLevelType w:val="multilevel"/>
    <w:tmpl w:val="44E8DF4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3" w15:restartNumberingAfterBreak="0">
    <w:nsid w:val="50A811CB"/>
    <w:multiLevelType w:val="hybridMultilevel"/>
    <w:tmpl w:val="9566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674DF"/>
    <w:multiLevelType w:val="hybridMultilevel"/>
    <w:tmpl w:val="AFAE5914"/>
    <w:styleLink w:val="ImportedStyle8"/>
    <w:lvl w:ilvl="0" w:tplc="E9A4FAA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8AD63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9C04DC">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C00103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546FC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DC6572">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6E625F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4E212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2081EA">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4C424E3"/>
    <w:multiLevelType w:val="hybridMultilevel"/>
    <w:tmpl w:val="B4303796"/>
    <w:styleLink w:val="ImportedStyle3"/>
    <w:lvl w:ilvl="0" w:tplc="F87EB590">
      <w:start w:val="1"/>
      <w:numFmt w:val="decimal"/>
      <w:lvlText w:val="%1."/>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5EDD24">
      <w:start w:val="1"/>
      <w:numFmt w:val="lowerLetter"/>
      <w:lvlText w:val="%2."/>
      <w:lvlJc w:val="left"/>
      <w:pPr>
        <w:ind w:left="18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E66A8C">
      <w:start w:val="1"/>
      <w:numFmt w:val="lowerRoman"/>
      <w:lvlText w:val="%3."/>
      <w:lvlJc w:val="left"/>
      <w:pPr>
        <w:ind w:left="261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416CF1E">
      <w:start w:val="1"/>
      <w:numFmt w:val="decimal"/>
      <w:lvlText w:val="%4."/>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BA16D2">
      <w:start w:val="1"/>
      <w:numFmt w:val="lowerLetter"/>
      <w:lvlText w:val="%5."/>
      <w:lvlJc w:val="left"/>
      <w:pPr>
        <w:ind w:left="40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D222DC">
      <w:start w:val="1"/>
      <w:numFmt w:val="lowerRoman"/>
      <w:lvlText w:val="%6."/>
      <w:lvlJc w:val="left"/>
      <w:pPr>
        <w:ind w:left="477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328C07A">
      <w:start w:val="1"/>
      <w:numFmt w:val="decimal"/>
      <w:lvlText w:val="%7."/>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A4CCC0">
      <w:start w:val="1"/>
      <w:numFmt w:val="lowerLetter"/>
      <w:lvlText w:val="%8."/>
      <w:lvlJc w:val="left"/>
      <w:pPr>
        <w:ind w:left="62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946D8A">
      <w:start w:val="1"/>
      <w:numFmt w:val="lowerRoman"/>
      <w:lvlText w:val="%9."/>
      <w:lvlJc w:val="left"/>
      <w:pPr>
        <w:ind w:left="693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684591D"/>
    <w:multiLevelType w:val="hybridMultilevel"/>
    <w:tmpl w:val="EAB8317C"/>
    <w:numStyleLink w:val="ImportedStyle6"/>
  </w:abstractNum>
  <w:abstractNum w:abstractNumId="17" w15:restartNumberingAfterBreak="0">
    <w:nsid w:val="57E23C87"/>
    <w:multiLevelType w:val="hybridMultilevel"/>
    <w:tmpl w:val="7FCAFF18"/>
    <w:styleLink w:val="ImportedStyle10"/>
    <w:lvl w:ilvl="0" w:tplc="FD88EEB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282BF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3A6F12">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2927B7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9043B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EC0A58">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2C01F2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888BF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54A3D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EA94673"/>
    <w:multiLevelType w:val="hybridMultilevel"/>
    <w:tmpl w:val="CCF0BFBA"/>
    <w:numStyleLink w:val="ImportedStyle7"/>
  </w:abstractNum>
  <w:abstractNum w:abstractNumId="19" w15:restartNumberingAfterBreak="0">
    <w:nsid w:val="62B215B0"/>
    <w:multiLevelType w:val="multilevel"/>
    <w:tmpl w:val="6D886D24"/>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921774"/>
    <w:multiLevelType w:val="multilevel"/>
    <w:tmpl w:val="FBE04CB8"/>
    <w:lvl w:ilvl="0">
      <w:start w:val="1"/>
      <w:numFmt w:val="decimal"/>
      <w:lvlText w:val="%1)"/>
      <w:lvlJc w:val="left"/>
      <w:pPr>
        <w:ind w:left="6660" w:hanging="360"/>
      </w:pPr>
      <w:rPr>
        <w:u w:val="none"/>
      </w:rPr>
    </w:lvl>
    <w:lvl w:ilvl="1">
      <w:start w:val="1"/>
      <w:numFmt w:val="lowerLetter"/>
      <w:lvlText w:val="%2)"/>
      <w:lvlJc w:val="left"/>
      <w:pPr>
        <w:ind w:left="7380" w:hanging="360"/>
      </w:pPr>
      <w:rPr>
        <w:u w:val="none"/>
      </w:rPr>
    </w:lvl>
    <w:lvl w:ilvl="2">
      <w:start w:val="1"/>
      <w:numFmt w:val="lowerRoman"/>
      <w:lvlText w:val="%3)"/>
      <w:lvlJc w:val="right"/>
      <w:pPr>
        <w:ind w:left="8100" w:hanging="360"/>
      </w:pPr>
      <w:rPr>
        <w:u w:val="none"/>
      </w:rPr>
    </w:lvl>
    <w:lvl w:ilvl="3">
      <w:start w:val="1"/>
      <w:numFmt w:val="decimal"/>
      <w:lvlText w:val="(%4)"/>
      <w:lvlJc w:val="left"/>
      <w:pPr>
        <w:ind w:left="8820" w:hanging="360"/>
      </w:pPr>
      <w:rPr>
        <w:u w:val="none"/>
      </w:rPr>
    </w:lvl>
    <w:lvl w:ilvl="4">
      <w:start w:val="1"/>
      <w:numFmt w:val="lowerLetter"/>
      <w:lvlText w:val="(%5)"/>
      <w:lvlJc w:val="left"/>
      <w:pPr>
        <w:ind w:left="9540" w:hanging="360"/>
      </w:pPr>
      <w:rPr>
        <w:u w:val="none"/>
      </w:rPr>
    </w:lvl>
    <w:lvl w:ilvl="5">
      <w:start w:val="1"/>
      <w:numFmt w:val="lowerRoman"/>
      <w:lvlText w:val="(%6)"/>
      <w:lvlJc w:val="right"/>
      <w:pPr>
        <w:ind w:left="10260" w:hanging="360"/>
      </w:pPr>
      <w:rPr>
        <w:u w:val="none"/>
      </w:rPr>
    </w:lvl>
    <w:lvl w:ilvl="6">
      <w:start w:val="1"/>
      <w:numFmt w:val="decimal"/>
      <w:lvlText w:val="%7."/>
      <w:lvlJc w:val="left"/>
      <w:pPr>
        <w:ind w:left="10980" w:hanging="360"/>
      </w:pPr>
      <w:rPr>
        <w:u w:val="none"/>
      </w:rPr>
    </w:lvl>
    <w:lvl w:ilvl="7">
      <w:start w:val="1"/>
      <w:numFmt w:val="lowerLetter"/>
      <w:lvlText w:val="%8."/>
      <w:lvlJc w:val="left"/>
      <w:pPr>
        <w:ind w:left="11700" w:hanging="360"/>
      </w:pPr>
      <w:rPr>
        <w:u w:val="none"/>
      </w:rPr>
    </w:lvl>
    <w:lvl w:ilvl="8">
      <w:start w:val="1"/>
      <w:numFmt w:val="lowerRoman"/>
      <w:lvlText w:val="%9."/>
      <w:lvlJc w:val="right"/>
      <w:pPr>
        <w:ind w:left="12420" w:hanging="360"/>
      </w:pPr>
      <w:rPr>
        <w:u w:val="none"/>
      </w:rPr>
    </w:lvl>
  </w:abstractNum>
  <w:abstractNum w:abstractNumId="21" w15:restartNumberingAfterBreak="0">
    <w:nsid w:val="67E919B8"/>
    <w:multiLevelType w:val="hybridMultilevel"/>
    <w:tmpl w:val="7FCAFF18"/>
    <w:numStyleLink w:val="ImportedStyle10"/>
  </w:abstractNum>
  <w:abstractNum w:abstractNumId="22" w15:restartNumberingAfterBreak="0">
    <w:nsid w:val="68D206B3"/>
    <w:multiLevelType w:val="multilevel"/>
    <w:tmpl w:val="763C7E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6BFC7C52"/>
    <w:multiLevelType w:val="hybridMultilevel"/>
    <w:tmpl w:val="8E78F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A53BC1"/>
    <w:multiLevelType w:val="hybridMultilevel"/>
    <w:tmpl w:val="40E042A6"/>
    <w:numStyleLink w:val="ImportedStyle9"/>
  </w:abstractNum>
  <w:abstractNum w:abstractNumId="25" w15:restartNumberingAfterBreak="0">
    <w:nsid w:val="711F00AD"/>
    <w:multiLevelType w:val="hybridMultilevel"/>
    <w:tmpl w:val="40E042A6"/>
    <w:styleLink w:val="ImportedStyle9"/>
    <w:lvl w:ilvl="0" w:tplc="6330BD0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1617B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CEC0FC">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0C80E8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64A66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D817F8">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DD041A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F451F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028EEA">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3BD76B9"/>
    <w:multiLevelType w:val="hybridMultilevel"/>
    <w:tmpl w:val="CCF0BFBA"/>
    <w:styleLink w:val="ImportedStyle7"/>
    <w:lvl w:ilvl="0" w:tplc="DC0A2AF0">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4AD06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46C83C">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C642B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DC60E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AA4CAA">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956604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140F0E">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4446F4">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58C4F5C"/>
    <w:multiLevelType w:val="hybridMultilevel"/>
    <w:tmpl w:val="77CA00A4"/>
    <w:numStyleLink w:val="ImportedStyle5"/>
  </w:abstractNum>
  <w:abstractNum w:abstractNumId="28" w15:restartNumberingAfterBreak="0">
    <w:nsid w:val="78634E54"/>
    <w:multiLevelType w:val="hybridMultilevel"/>
    <w:tmpl w:val="B4303796"/>
    <w:numStyleLink w:val="ImportedStyle3"/>
  </w:abstractNum>
  <w:abstractNum w:abstractNumId="29" w15:restartNumberingAfterBreak="0">
    <w:nsid w:val="7C410C54"/>
    <w:multiLevelType w:val="hybridMultilevel"/>
    <w:tmpl w:val="5A68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43E4F"/>
    <w:multiLevelType w:val="multilevel"/>
    <w:tmpl w:val="3E18A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F762122"/>
    <w:multiLevelType w:val="hybridMultilevel"/>
    <w:tmpl w:val="77CA00A4"/>
    <w:styleLink w:val="ImportedStyle5"/>
    <w:lvl w:ilvl="0" w:tplc="08503C40">
      <w:start w:val="1"/>
      <w:numFmt w:val="lowerLetter"/>
      <w:lvlText w:val="%1."/>
      <w:lvlJc w:val="left"/>
      <w:pPr>
        <w:tabs>
          <w:tab w:val="left" w:pos="2790"/>
        </w:tabs>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FA17D6">
      <w:start w:val="1"/>
      <w:numFmt w:val="lowerLetter"/>
      <w:lvlText w:val="%2."/>
      <w:lvlJc w:val="left"/>
      <w:pPr>
        <w:tabs>
          <w:tab w:val="left" w:pos="1530"/>
          <w:tab w:val="left" w:pos="2790"/>
        </w:tabs>
        <w:ind w:left="2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7ED13C">
      <w:start w:val="1"/>
      <w:numFmt w:val="lowerRoman"/>
      <w:suff w:val="nothing"/>
      <w:lvlText w:val="%3."/>
      <w:lvlJc w:val="left"/>
      <w:pPr>
        <w:tabs>
          <w:tab w:val="left" w:pos="1530"/>
          <w:tab w:val="left" w:pos="2790"/>
        </w:tabs>
        <w:ind w:left="279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96EA03E4">
      <w:start w:val="1"/>
      <w:numFmt w:val="decimal"/>
      <w:lvlText w:val="%4."/>
      <w:lvlJc w:val="left"/>
      <w:pPr>
        <w:tabs>
          <w:tab w:val="left" w:pos="1530"/>
          <w:tab w:val="left" w:pos="2790"/>
        </w:tabs>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4AF074">
      <w:start w:val="1"/>
      <w:numFmt w:val="lowerLetter"/>
      <w:lvlText w:val="%5."/>
      <w:lvlJc w:val="left"/>
      <w:pPr>
        <w:tabs>
          <w:tab w:val="left" w:pos="1530"/>
          <w:tab w:val="left" w:pos="2790"/>
        </w:tabs>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E668D8">
      <w:start w:val="1"/>
      <w:numFmt w:val="lowerRoman"/>
      <w:lvlText w:val="%6."/>
      <w:lvlJc w:val="left"/>
      <w:pPr>
        <w:tabs>
          <w:tab w:val="left" w:pos="1530"/>
          <w:tab w:val="left" w:pos="2790"/>
        </w:tabs>
        <w:ind w:left="513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B1CA17C">
      <w:start w:val="1"/>
      <w:numFmt w:val="decimal"/>
      <w:lvlText w:val="%7."/>
      <w:lvlJc w:val="left"/>
      <w:pPr>
        <w:tabs>
          <w:tab w:val="left" w:pos="1530"/>
          <w:tab w:val="left" w:pos="2790"/>
        </w:tabs>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72FCBE">
      <w:start w:val="1"/>
      <w:numFmt w:val="lowerLetter"/>
      <w:lvlText w:val="%8."/>
      <w:lvlJc w:val="left"/>
      <w:pPr>
        <w:tabs>
          <w:tab w:val="left" w:pos="1530"/>
          <w:tab w:val="left" w:pos="2790"/>
        </w:tabs>
        <w:ind w:left="6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68047E">
      <w:start w:val="1"/>
      <w:numFmt w:val="lowerRoman"/>
      <w:lvlText w:val="%9."/>
      <w:lvlJc w:val="left"/>
      <w:pPr>
        <w:tabs>
          <w:tab w:val="left" w:pos="1530"/>
          <w:tab w:val="left" w:pos="2790"/>
        </w:tabs>
        <w:ind w:left="729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38267303">
    <w:abstractNumId w:val="19"/>
  </w:num>
  <w:num w:numId="2" w16cid:durableId="1370569815">
    <w:abstractNumId w:val="1"/>
  </w:num>
  <w:num w:numId="3" w16cid:durableId="1754466815">
    <w:abstractNumId w:val="4"/>
    <w:lvlOverride w:ilvl="0">
      <w:lvl w:ilvl="0" w:tplc="7CCC363C">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723598795">
    <w:abstractNumId w:val="4"/>
    <w:lvlOverride w:ilvl="0">
      <w:lvl w:ilvl="0" w:tplc="7CCC363C">
        <w:start w:val="1"/>
        <w:numFmt w:val="decimal"/>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A1A6AA6">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180CD32">
        <w:start w:val="1"/>
        <w:numFmt w:val="lowerRoman"/>
        <w:lvlText w:val="%3."/>
        <w:lvlJc w:val="left"/>
        <w:pPr>
          <w:ind w:left="189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154BCAC">
        <w:start w:val="1"/>
        <w:numFmt w:val="decimal"/>
        <w:lvlText w:val="%4."/>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B00C3E">
        <w:start w:val="1"/>
        <w:numFmt w:val="lowerLetter"/>
        <w:lvlText w:val="%5."/>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BA924E">
        <w:start w:val="1"/>
        <w:numFmt w:val="lowerRoman"/>
        <w:lvlText w:val="%6."/>
        <w:lvlJc w:val="left"/>
        <w:pPr>
          <w:ind w:left="405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D4CEADC">
        <w:start w:val="1"/>
        <w:numFmt w:val="decimal"/>
        <w:lvlText w:val="%7."/>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4C795C">
        <w:start w:val="1"/>
        <w:numFmt w:val="lowerLetter"/>
        <w:lvlText w:val="%8."/>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39E53B0">
        <w:start w:val="1"/>
        <w:numFmt w:val="lowerRoman"/>
        <w:lvlText w:val="%9."/>
        <w:lvlJc w:val="left"/>
        <w:pPr>
          <w:ind w:left="621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42078042">
    <w:abstractNumId w:val="4"/>
    <w:lvlOverride w:ilvl="0">
      <w:lvl w:ilvl="0" w:tplc="7CCC363C">
        <w:start w:val="1"/>
        <w:numFmt w:val="decimal"/>
        <w:lvlText w:val="%1."/>
        <w:lvlJc w:val="left"/>
        <w:pPr>
          <w:tabs>
            <w:tab w:val="num" w:pos="45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A1A6AA6">
        <w:start w:val="1"/>
        <w:numFmt w:val="lowerLetter"/>
        <w:lvlText w:val="%2."/>
        <w:lvlJc w:val="left"/>
        <w:pPr>
          <w:tabs>
            <w:tab w:val="left" w:pos="450"/>
            <w:tab w:val="num" w:pos="1440"/>
          </w:tabs>
          <w:ind w:left="171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180CD32">
        <w:start w:val="1"/>
        <w:numFmt w:val="lowerRoman"/>
        <w:lvlText w:val="%3."/>
        <w:lvlJc w:val="left"/>
        <w:pPr>
          <w:tabs>
            <w:tab w:val="left" w:pos="450"/>
            <w:tab w:val="num" w:pos="2160"/>
          </w:tabs>
          <w:ind w:left="2430" w:hanging="9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154BCAC">
        <w:start w:val="1"/>
        <w:numFmt w:val="decimal"/>
        <w:lvlText w:val="%4."/>
        <w:lvlJc w:val="left"/>
        <w:pPr>
          <w:tabs>
            <w:tab w:val="left" w:pos="450"/>
            <w:tab w:val="num" w:pos="2880"/>
          </w:tabs>
          <w:ind w:left="315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B00C3E">
        <w:start w:val="1"/>
        <w:numFmt w:val="lowerLetter"/>
        <w:lvlText w:val="%5."/>
        <w:lvlJc w:val="left"/>
        <w:pPr>
          <w:tabs>
            <w:tab w:val="left" w:pos="450"/>
            <w:tab w:val="num" w:pos="3600"/>
          </w:tabs>
          <w:ind w:left="387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BA924E">
        <w:start w:val="1"/>
        <w:numFmt w:val="lowerRoman"/>
        <w:lvlText w:val="%6."/>
        <w:lvlJc w:val="left"/>
        <w:pPr>
          <w:tabs>
            <w:tab w:val="left" w:pos="450"/>
            <w:tab w:val="num" w:pos="4320"/>
          </w:tabs>
          <w:ind w:left="4590" w:hanging="9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D4CEADC">
        <w:start w:val="1"/>
        <w:numFmt w:val="decimal"/>
        <w:lvlText w:val="%7."/>
        <w:lvlJc w:val="left"/>
        <w:pPr>
          <w:tabs>
            <w:tab w:val="left" w:pos="450"/>
            <w:tab w:val="num" w:pos="5040"/>
          </w:tabs>
          <w:ind w:left="531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4C795C">
        <w:start w:val="1"/>
        <w:numFmt w:val="lowerLetter"/>
        <w:lvlText w:val="%8."/>
        <w:lvlJc w:val="left"/>
        <w:pPr>
          <w:tabs>
            <w:tab w:val="left" w:pos="450"/>
            <w:tab w:val="num" w:pos="5760"/>
          </w:tabs>
          <w:ind w:left="603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39E53B0">
        <w:start w:val="1"/>
        <w:numFmt w:val="lowerRoman"/>
        <w:lvlText w:val="%9."/>
        <w:lvlJc w:val="left"/>
        <w:pPr>
          <w:tabs>
            <w:tab w:val="left" w:pos="450"/>
            <w:tab w:val="num" w:pos="6480"/>
          </w:tabs>
          <w:ind w:left="6750" w:hanging="9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893464256">
    <w:abstractNumId w:val="15"/>
  </w:num>
  <w:num w:numId="7" w16cid:durableId="799345025">
    <w:abstractNumId w:val="28"/>
  </w:num>
  <w:num w:numId="8" w16cid:durableId="1931159253">
    <w:abstractNumId w:val="6"/>
  </w:num>
  <w:num w:numId="9" w16cid:durableId="281959609">
    <w:abstractNumId w:val="2"/>
  </w:num>
  <w:num w:numId="10" w16cid:durableId="1798379511">
    <w:abstractNumId w:val="28"/>
    <w:lvlOverride w:ilvl="0">
      <w:startOverride w:val="2"/>
      <w:lvl w:ilvl="0" w:tplc="9470284A">
        <w:start w:val="2"/>
        <w:numFmt w:val="decimal"/>
        <w:lvlText w:val="%1."/>
        <w:lvlJc w:val="left"/>
        <w:pPr>
          <w:tabs>
            <w:tab w:val="left" w:pos="1530"/>
          </w:tabs>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D1A9144">
        <w:start w:val="1"/>
        <w:numFmt w:val="lowerLetter"/>
        <w:lvlText w:val="%2."/>
        <w:lvlJc w:val="left"/>
        <w:pPr>
          <w:tabs>
            <w:tab w:val="left" w:pos="1530"/>
          </w:tabs>
          <w:ind w:left="18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3C70C4">
        <w:start w:val="1"/>
        <w:numFmt w:val="lowerRoman"/>
        <w:lvlText w:val="%3."/>
        <w:lvlJc w:val="left"/>
        <w:pPr>
          <w:tabs>
            <w:tab w:val="left" w:pos="1530"/>
          </w:tabs>
          <w:ind w:left="261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C449210">
        <w:start w:val="1"/>
        <w:numFmt w:val="decimal"/>
        <w:lvlText w:val="%4."/>
        <w:lvlJc w:val="left"/>
        <w:pPr>
          <w:tabs>
            <w:tab w:val="left" w:pos="1530"/>
          </w:tabs>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B662850">
        <w:start w:val="1"/>
        <w:numFmt w:val="lowerLetter"/>
        <w:lvlText w:val="%5."/>
        <w:lvlJc w:val="left"/>
        <w:pPr>
          <w:tabs>
            <w:tab w:val="left" w:pos="1530"/>
          </w:tabs>
          <w:ind w:left="40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305F44">
        <w:start w:val="1"/>
        <w:numFmt w:val="lowerRoman"/>
        <w:lvlText w:val="%6."/>
        <w:lvlJc w:val="left"/>
        <w:pPr>
          <w:tabs>
            <w:tab w:val="left" w:pos="1530"/>
          </w:tabs>
          <w:ind w:left="477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9D665DC">
        <w:start w:val="1"/>
        <w:numFmt w:val="decimal"/>
        <w:lvlText w:val="%7."/>
        <w:lvlJc w:val="left"/>
        <w:pPr>
          <w:tabs>
            <w:tab w:val="left" w:pos="1530"/>
          </w:tabs>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7DA822C">
        <w:start w:val="1"/>
        <w:numFmt w:val="lowerLetter"/>
        <w:lvlText w:val="%8."/>
        <w:lvlJc w:val="left"/>
        <w:pPr>
          <w:tabs>
            <w:tab w:val="left" w:pos="1530"/>
          </w:tabs>
          <w:ind w:left="6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A0892F4">
        <w:start w:val="1"/>
        <w:numFmt w:val="lowerRoman"/>
        <w:lvlText w:val="%9."/>
        <w:lvlJc w:val="left"/>
        <w:pPr>
          <w:tabs>
            <w:tab w:val="left" w:pos="1530"/>
          </w:tabs>
          <w:ind w:left="693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457872104">
    <w:abstractNumId w:val="31"/>
  </w:num>
  <w:num w:numId="12" w16cid:durableId="1768649896">
    <w:abstractNumId w:val="27"/>
  </w:num>
  <w:num w:numId="13" w16cid:durableId="174729814">
    <w:abstractNumId w:val="3"/>
  </w:num>
  <w:num w:numId="14" w16cid:durableId="1290088227">
    <w:abstractNumId w:val="16"/>
  </w:num>
  <w:num w:numId="15" w16cid:durableId="383674581">
    <w:abstractNumId w:val="26"/>
  </w:num>
  <w:num w:numId="16" w16cid:durableId="1166164349">
    <w:abstractNumId w:val="18"/>
  </w:num>
  <w:num w:numId="17" w16cid:durableId="1877890266">
    <w:abstractNumId w:val="16"/>
    <w:lvlOverride w:ilvl="0">
      <w:startOverride w:val="2"/>
    </w:lvlOverride>
  </w:num>
  <w:num w:numId="18" w16cid:durableId="1358846643">
    <w:abstractNumId w:val="14"/>
  </w:num>
  <w:num w:numId="19" w16cid:durableId="1466508510">
    <w:abstractNumId w:val="5"/>
    <w:lvlOverride w:ilvl="0">
      <w:lvl w:ilvl="0" w:tplc="8E94330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147116410">
    <w:abstractNumId w:val="25"/>
  </w:num>
  <w:num w:numId="21" w16cid:durableId="68581313">
    <w:abstractNumId w:val="24"/>
  </w:num>
  <w:num w:numId="22" w16cid:durableId="470175379">
    <w:abstractNumId w:val="5"/>
    <w:lvlOverride w:ilvl="0">
      <w:startOverride w:val="2"/>
    </w:lvlOverride>
  </w:num>
  <w:num w:numId="23" w16cid:durableId="1259873392">
    <w:abstractNumId w:val="17"/>
  </w:num>
  <w:num w:numId="24" w16cid:durableId="2125884641">
    <w:abstractNumId w:val="21"/>
  </w:num>
  <w:num w:numId="25" w16cid:durableId="46268678">
    <w:abstractNumId w:val="11"/>
  </w:num>
  <w:num w:numId="26" w16cid:durableId="26221249">
    <w:abstractNumId w:val="13"/>
  </w:num>
  <w:num w:numId="27" w16cid:durableId="1013187836">
    <w:abstractNumId w:val="29"/>
  </w:num>
  <w:num w:numId="28" w16cid:durableId="1339850639">
    <w:abstractNumId w:val="8"/>
  </w:num>
  <w:num w:numId="29" w16cid:durableId="1213153570">
    <w:abstractNumId w:val="12"/>
  </w:num>
  <w:num w:numId="30" w16cid:durableId="964577802">
    <w:abstractNumId w:val="20"/>
  </w:num>
  <w:num w:numId="31" w16cid:durableId="1403715623">
    <w:abstractNumId w:val="22"/>
  </w:num>
  <w:num w:numId="32" w16cid:durableId="2054192149">
    <w:abstractNumId w:val="30"/>
  </w:num>
  <w:num w:numId="33" w16cid:durableId="1822456951">
    <w:abstractNumId w:val="9"/>
  </w:num>
  <w:num w:numId="34" w16cid:durableId="1382558661">
    <w:abstractNumId w:val="0"/>
  </w:num>
  <w:num w:numId="35" w16cid:durableId="601381640">
    <w:abstractNumId w:val="7"/>
  </w:num>
  <w:num w:numId="36" w16cid:durableId="901713135">
    <w:abstractNumId w:val="23"/>
  </w:num>
  <w:num w:numId="37" w16cid:durableId="97679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AD"/>
    <w:rsid w:val="00020641"/>
    <w:rsid w:val="00031039"/>
    <w:rsid w:val="0005385C"/>
    <w:rsid w:val="00055142"/>
    <w:rsid w:val="000579F7"/>
    <w:rsid w:val="00060947"/>
    <w:rsid w:val="000704B4"/>
    <w:rsid w:val="000748E2"/>
    <w:rsid w:val="0008334D"/>
    <w:rsid w:val="000965BA"/>
    <w:rsid w:val="000B6C83"/>
    <w:rsid w:val="000C5241"/>
    <w:rsid w:val="000D1BD6"/>
    <w:rsid w:val="000E35F9"/>
    <w:rsid w:val="000F626E"/>
    <w:rsid w:val="00111CCF"/>
    <w:rsid w:val="001165FC"/>
    <w:rsid w:val="00132D67"/>
    <w:rsid w:val="00146199"/>
    <w:rsid w:val="00146774"/>
    <w:rsid w:val="00165435"/>
    <w:rsid w:val="00173E84"/>
    <w:rsid w:val="00190438"/>
    <w:rsid w:val="00191507"/>
    <w:rsid w:val="001B1D46"/>
    <w:rsid w:val="001C16C1"/>
    <w:rsid w:val="001E3740"/>
    <w:rsid w:val="001F4FF1"/>
    <w:rsid w:val="002128C2"/>
    <w:rsid w:val="00217D0E"/>
    <w:rsid w:val="002255F8"/>
    <w:rsid w:val="002353D6"/>
    <w:rsid w:val="002429A1"/>
    <w:rsid w:val="00254127"/>
    <w:rsid w:val="002608E4"/>
    <w:rsid w:val="00286868"/>
    <w:rsid w:val="00287A1D"/>
    <w:rsid w:val="002A4377"/>
    <w:rsid w:val="002A6312"/>
    <w:rsid w:val="002D52F6"/>
    <w:rsid w:val="002D5A5C"/>
    <w:rsid w:val="002F4D12"/>
    <w:rsid w:val="00301BDC"/>
    <w:rsid w:val="0032695A"/>
    <w:rsid w:val="00327BCA"/>
    <w:rsid w:val="0033594D"/>
    <w:rsid w:val="00342D50"/>
    <w:rsid w:val="00345E80"/>
    <w:rsid w:val="00350548"/>
    <w:rsid w:val="003729EC"/>
    <w:rsid w:val="003869F3"/>
    <w:rsid w:val="003C3F9E"/>
    <w:rsid w:val="003C45F4"/>
    <w:rsid w:val="003C52D1"/>
    <w:rsid w:val="003D4D1D"/>
    <w:rsid w:val="003D6119"/>
    <w:rsid w:val="003D7F2F"/>
    <w:rsid w:val="003F0404"/>
    <w:rsid w:val="003F7BEE"/>
    <w:rsid w:val="004014A9"/>
    <w:rsid w:val="004019BA"/>
    <w:rsid w:val="0047082A"/>
    <w:rsid w:val="004739B9"/>
    <w:rsid w:val="00476CCA"/>
    <w:rsid w:val="00476DB2"/>
    <w:rsid w:val="00481458"/>
    <w:rsid w:val="004827F5"/>
    <w:rsid w:val="00482BB7"/>
    <w:rsid w:val="0048765C"/>
    <w:rsid w:val="004B1D41"/>
    <w:rsid w:val="004B5A24"/>
    <w:rsid w:val="004B7FB2"/>
    <w:rsid w:val="004F3113"/>
    <w:rsid w:val="00515F91"/>
    <w:rsid w:val="00527FDB"/>
    <w:rsid w:val="00552FE1"/>
    <w:rsid w:val="005568E8"/>
    <w:rsid w:val="005652A1"/>
    <w:rsid w:val="0059037F"/>
    <w:rsid w:val="005D1211"/>
    <w:rsid w:val="005D2CB6"/>
    <w:rsid w:val="005D57CD"/>
    <w:rsid w:val="005E5C2F"/>
    <w:rsid w:val="005E76C1"/>
    <w:rsid w:val="005F08D8"/>
    <w:rsid w:val="00600758"/>
    <w:rsid w:val="00600941"/>
    <w:rsid w:val="00611009"/>
    <w:rsid w:val="00631763"/>
    <w:rsid w:val="006413A2"/>
    <w:rsid w:val="006472E7"/>
    <w:rsid w:val="006621AA"/>
    <w:rsid w:val="006668B5"/>
    <w:rsid w:val="00680AD0"/>
    <w:rsid w:val="006811EA"/>
    <w:rsid w:val="006940AD"/>
    <w:rsid w:val="00695E5F"/>
    <w:rsid w:val="006A4422"/>
    <w:rsid w:val="006B5B8C"/>
    <w:rsid w:val="006E3820"/>
    <w:rsid w:val="006F229D"/>
    <w:rsid w:val="006F50E3"/>
    <w:rsid w:val="00716F64"/>
    <w:rsid w:val="00743796"/>
    <w:rsid w:val="007541F6"/>
    <w:rsid w:val="0075661B"/>
    <w:rsid w:val="00766BBB"/>
    <w:rsid w:val="00767418"/>
    <w:rsid w:val="00792764"/>
    <w:rsid w:val="007C2DE4"/>
    <w:rsid w:val="007D4D95"/>
    <w:rsid w:val="007E0D5F"/>
    <w:rsid w:val="007E107A"/>
    <w:rsid w:val="007E4A62"/>
    <w:rsid w:val="008120C9"/>
    <w:rsid w:val="008201FE"/>
    <w:rsid w:val="0082237A"/>
    <w:rsid w:val="00844701"/>
    <w:rsid w:val="00844F27"/>
    <w:rsid w:val="00845B12"/>
    <w:rsid w:val="00895545"/>
    <w:rsid w:val="008B4D72"/>
    <w:rsid w:val="008C3D6C"/>
    <w:rsid w:val="008C5F15"/>
    <w:rsid w:val="008C6B3A"/>
    <w:rsid w:val="008E51A5"/>
    <w:rsid w:val="008F5D3F"/>
    <w:rsid w:val="009067CF"/>
    <w:rsid w:val="00906F39"/>
    <w:rsid w:val="00924BCA"/>
    <w:rsid w:val="00940F22"/>
    <w:rsid w:val="00964628"/>
    <w:rsid w:val="00971420"/>
    <w:rsid w:val="00974BCE"/>
    <w:rsid w:val="009A1F71"/>
    <w:rsid w:val="009D3B6B"/>
    <w:rsid w:val="009F0331"/>
    <w:rsid w:val="009F5A68"/>
    <w:rsid w:val="00A02533"/>
    <w:rsid w:val="00A114E5"/>
    <w:rsid w:val="00A13651"/>
    <w:rsid w:val="00A243FF"/>
    <w:rsid w:val="00A4607C"/>
    <w:rsid w:val="00A4738B"/>
    <w:rsid w:val="00A558AD"/>
    <w:rsid w:val="00A821E2"/>
    <w:rsid w:val="00A86A85"/>
    <w:rsid w:val="00AC1760"/>
    <w:rsid w:val="00AC34FA"/>
    <w:rsid w:val="00AC4814"/>
    <w:rsid w:val="00AD2A55"/>
    <w:rsid w:val="00AE28FC"/>
    <w:rsid w:val="00AE2CD8"/>
    <w:rsid w:val="00AF4F0E"/>
    <w:rsid w:val="00AF5EA4"/>
    <w:rsid w:val="00B0356C"/>
    <w:rsid w:val="00B1227C"/>
    <w:rsid w:val="00B252BC"/>
    <w:rsid w:val="00B263A7"/>
    <w:rsid w:val="00B347BD"/>
    <w:rsid w:val="00B42F7A"/>
    <w:rsid w:val="00B906DB"/>
    <w:rsid w:val="00BB6AF1"/>
    <w:rsid w:val="00BC210C"/>
    <w:rsid w:val="00BE3920"/>
    <w:rsid w:val="00BE7581"/>
    <w:rsid w:val="00BF23D3"/>
    <w:rsid w:val="00C00895"/>
    <w:rsid w:val="00C21511"/>
    <w:rsid w:val="00C26205"/>
    <w:rsid w:val="00C31C42"/>
    <w:rsid w:val="00C35B5C"/>
    <w:rsid w:val="00C47D40"/>
    <w:rsid w:val="00C57567"/>
    <w:rsid w:val="00C771CB"/>
    <w:rsid w:val="00C8237D"/>
    <w:rsid w:val="00C914A1"/>
    <w:rsid w:val="00CB2DF7"/>
    <w:rsid w:val="00CD5FFF"/>
    <w:rsid w:val="00D13C14"/>
    <w:rsid w:val="00D36C98"/>
    <w:rsid w:val="00D62A00"/>
    <w:rsid w:val="00D674B4"/>
    <w:rsid w:val="00D72566"/>
    <w:rsid w:val="00DA4D0C"/>
    <w:rsid w:val="00DB2D64"/>
    <w:rsid w:val="00DC7288"/>
    <w:rsid w:val="00DE2C5C"/>
    <w:rsid w:val="00DE694B"/>
    <w:rsid w:val="00DF2BCD"/>
    <w:rsid w:val="00DF55F9"/>
    <w:rsid w:val="00DF6584"/>
    <w:rsid w:val="00E02287"/>
    <w:rsid w:val="00E1517A"/>
    <w:rsid w:val="00E20FEF"/>
    <w:rsid w:val="00E27209"/>
    <w:rsid w:val="00E2751C"/>
    <w:rsid w:val="00E31B79"/>
    <w:rsid w:val="00E47E31"/>
    <w:rsid w:val="00E5765C"/>
    <w:rsid w:val="00E62320"/>
    <w:rsid w:val="00E64430"/>
    <w:rsid w:val="00E95DE7"/>
    <w:rsid w:val="00E97971"/>
    <w:rsid w:val="00E97D07"/>
    <w:rsid w:val="00EB0954"/>
    <w:rsid w:val="00EC6AD8"/>
    <w:rsid w:val="00EE2432"/>
    <w:rsid w:val="00EE3013"/>
    <w:rsid w:val="00F135D4"/>
    <w:rsid w:val="00F251E7"/>
    <w:rsid w:val="00F31809"/>
    <w:rsid w:val="00F47F31"/>
    <w:rsid w:val="00F52996"/>
    <w:rsid w:val="00F63EDF"/>
    <w:rsid w:val="00F974F0"/>
    <w:rsid w:val="00F97A4B"/>
    <w:rsid w:val="00FA4479"/>
    <w:rsid w:val="00FA713E"/>
    <w:rsid w:val="00FD7A1A"/>
    <w:rsid w:val="00FE4B63"/>
    <w:rsid w:val="00FF3F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AEF9"/>
  <w15:docId w15:val="{28B41026-273A-E24D-83FF-AC55015D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42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paragraph" w:styleId="ListParagraph">
    <w:name w:val="List Paragraph"/>
    <w:aliases w:val="Tabel,Body of text,Body of textCxSp,TOC,sub-section,List Paragraph1,Medium Grid 1 - Accent 21,Body of text+1,Body of text+2,Body of text+3,List Paragraph11,Colorful List - Accent 11,HEADING 1,sub 1,Char Char2,Body Text Char1"/>
    <w:basedOn w:val="Normal"/>
    <w:link w:val="ListParagraphChar"/>
    <w:uiPriority w:val="34"/>
    <w:qFormat/>
    <w:rsid w:val="00B546EE"/>
    <w:pPr>
      <w:ind w:left="720"/>
      <w:contextualSpacing/>
    </w:pPr>
  </w:style>
  <w:style w:type="paragraph" w:styleId="Caption">
    <w:name w:val="caption"/>
    <w:basedOn w:val="Normal"/>
    <w:next w:val="Normal"/>
    <w:uiPriority w:val="35"/>
    <w:unhideWhenUsed/>
    <w:qFormat/>
    <w:rsid w:val="001B58C7"/>
    <w:pPr>
      <w:spacing w:after="200"/>
      <w:jc w:val="center"/>
    </w:pPr>
    <w:rPr>
      <w:iCs/>
      <w:szCs w:val="18"/>
    </w:rPr>
  </w:style>
  <w:style w:type="character" w:customStyle="1" w:styleId="ListParagraphChar">
    <w:name w:val="List Paragraph Char"/>
    <w:aliases w:val="Tabel Char,Body of text Char,Body of textCxSp Char,TOC Char,sub-section Char,List Paragraph1 Char,Medium Grid 1 - Accent 21 Char,Body of text+1 Char,Body of text+2 Char,Body of text+3 Char,List Paragraph11 Char,HEADING 1 Char"/>
    <w:basedOn w:val="DefaultParagraphFont"/>
    <w:link w:val="ListParagraph"/>
    <w:uiPriority w:val="34"/>
    <w:qFormat/>
    <w:locked/>
    <w:rsid w:val="00994DA9"/>
  </w:style>
  <w:style w:type="paragraph" w:customStyle="1" w:styleId="Default">
    <w:name w:val="Default"/>
    <w:rsid w:val="00994DA9"/>
    <w:pPr>
      <w:autoSpaceDE w:val="0"/>
      <w:autoSpaceDN w:val="0"/>
      <w:adjustRightInd w:val="0"/>
    </w:pPr>
    <w:rPr>
      <w:color w:val="000000"/>
    </w:rPr>
  </w:style>
  <w:style w:type="paragraph" w:styleId="FootnoteText">
    <w:name w:val="footnote text"/>
    <w:aliases w:val="Char Char Char"/>
    <w:basedOn w:val="Normal"/>
    <w:link w:val="FootnoteTextChar"/>
    <w:uiPriority w:val="99"/>
    <w:unhideWhenUsed/>
    <w:qFormat/>
    <w:rsid w:val="00CA7887"/>
    <w:rPr>
      <w:rFonts w:asciiTheme="minorHAnsi" w:eastAsiaTheme="minorHAnsi" w:hAnsiTheme="minorHAnsi" w:cstheme="minorBidi"/>
      <w:kern w:val="2"/>
      <w:sz w:val="20"/>
      <w:szCs w:val="20"/>
    </w:rPr>
  </w:style>
  <w:style w:type="character" w:customStyle="1" w:styleId="FootnoteTextChar">
    <w:name w:val="Footnote Text Char"/>
    <w:aliases w:val="Char Char Char Char"/>
    <w:basedOn w:val="DefaultParagraphFont"/>
    <w:link w:val="FootnoteText"/>
    <w:uiPriority w:val="99"/>
    <w:qFormat/>
    <w:rsid w:val="00CA7887"/>
    <w:rPr>
      <w:rFonts w:asciiTheme="minorHAnsi" w:eastAsiaTheme="minorHAnsi" w:hAnsiTheme="minorHAnsi" w:cstheme="minorBidi"/>
      <w:kern w:val="2"/>
      <w:sz w:val="20"/>
      <w:szCs w:val="20"/>
      <w:lang w:val="en-ID"/>
    </w:rPr>
  </w:style>
  <w:style w:type="character" w:styleId="FootnoteReference">
    <w:name w:val="footnote reference"/>
    <w:basedOn w:val="DefaultParagraphFont"/>
    <w:uiPriority w:val="99"/>
    <w:unhideWhenUsed/>
    <w:qFormat/>
    <w:rsid w:val="00CA7887"/>
    <w:rPr>
      <w:vertAlign w:val="superscript"/>
    </w:rPr>
  </w:style>
  <w:style w:type="character" w:styleId="Hyperlink">
    <w:name w:val="Hyperlink"/>
    <w:basedOn w:val="DefaultParagraphFont"/>
    <w:uiPriority w:val="99"/>
    <w:unhideWhenUsed/>
    <w:rsid w:val="00551EAC"/>
    <w:rPr>
      <w:color w:val="0000FF" w:themeColor="hyperlink"/>
      <w:u w:val="single"/>
    </w:rPr>
  </w:style>
  <w:style w:type="character" w:customStyle="1" w:styleId="Heading3Char">
    <w:name w:val="Heading 3 Char"/>
    <w:basedOn w:val="DefaultParagraphFont"/>
    <w:link w:val="Heading3"/>
    <w:uiPriority w:val="9"/>
    <w:rsid w:val="004A469A"/>
    <w:rPr>
      <w:b/>
      <w:sz w:val="28"/>
      <w:szCs w:val="28"/>
    </w:rPr>
  </w:style>
  <w:style w:type="character" w:customStyle="1" w:styleId="go">
    <w:name w:val="go"/>
    <w:basedOn w:val="DefaultParagraphFont"/>
    <w:rsid w:val="004A469A"/>
  </w:style>
  <w:style w:type="paragraph" w:customStyle="1" w:styleId="has-text-align-right">
    <w:name w:val="has-text-align-right"/>
    <w:basedOn w:val="Normal"/>
    <w:rsid w:val="006B0D89"/>
    <w:pPr>
      <w:spacing w:before="100" w:beforeAutospacing="1" w:after="100" w:afterAutospacing="1"/>
    </w:pPr>
    <w:rPr>
      <w:lang w:eastAsia="en-ID"/>
    </w:rPr>
  </w:style>
  <w:style w:type="paragraph" w:styleId="NormalWeb">
    <w:name w:val="Normal (Web)"/>
    <w:basedOn w:val="Normal"/>
    <w:uiPriority w:val="99"/>
    <w:unhideWhenUsed/>
    <w:rsid w:val="006B0D89"/>
    <w:pPr>
      <w:spacing w:before="100" w:beforeAutospacing="1" w:after="100" w:afterAutospacing="1"/>
    </w:pPr>
    <w:rPr>
      <w:lang w:eastAsia="en-ID"/>
    </w:rPr>
  </w:style>
  <w:style w:type="character" w:styleId="Emphasis">
    <w:name w:val="Emphasis"/>
    <w:uiPriority w:val="20"/>
    <w:qFormat/>
    <w:rsid w:val="006B0D89"/>
    <w:rPr>
      <w:i/>
      <w:iCs/>
    </w:rPr>
  </w:style>
  <w:style w:type="character" w:customStyle="1" w:styleId="UnresolvedMention1">
    <w:name w:val="Unresolved Mention1"/>
    <w:uiPriority w:val="99"/>
    <w:semiHidden/>
    <w:unhideWhenUsed/>
    <w:rsid w:val="00F41BFF"/>
    <w:rPr>
      <w:color w:val="605E5C"/>
      <w:shd w:val="clear" w:color="auto" w:fill="E1DFDD"/>
    </w:rPr>
  </w:style>
  <w:style w:type="paragraph" w:styleId="EndnoteText">
    <w:name w:val="endnote text"/>
    <w:basedOn w:val="Normal"/>
    <w:link w:val="EndnoteTextChar"/>
    <w:uiPriority w:val="99"/>
    <w:semiHidden/>
    <w:unhideWhenUsed/>
    <w:rsid w:val="00F41BFF"/>
    <w:pPr>
      <w:spacing w:after="160" w:line="259" w:lineRule="auto"/>
    </w:pPr>
    <w:rPr>
      <w:rFonts w:cs="Arial"/>
      <w:sz w:val="20"/>
      <w:szCs w:val="20"/>
      <w:lang w:val="en-US"/>
    </w:rPr>
  </w:style>
  <w:style w:type="character" w:customStyle="1" w:styleId="EndnoteTextChar">
    <w:name w:val="Endnote Text Char"/>
    <w:basedOn w:val="DefaultParagraphFont"/>
    <w:link w:val="EndnoteText"/>
    <w:uiPriority w:val="99"/>
    <w:semiHidden/>
    <w:rsid w:val="00F41BFF"/>
    <w:rPr>
      <w:rFonts w:cs="Arial"/>
      <w:sz w:val="20"/>
      <w:szCs w:val="20"/>
      <w:lang w:val="en-US"/>
    </w:rPr>
  </w:style>
  <w:style w:type="character" w:styleId="EndnoteReference">
    <w:name w:val="endnote reference"/>
    <w:uiPriority w:val="99"/>
    <w:semiHidden/>
    <w:unhideWhenUsed/>
    <w:rsid w:val="00F41BFF"/>
    <w:rPr>
      <w:vertAlign w:val="superscript"/>
    </w:rPr>
  </w:style>
  <w:style w:type="paragraph" w:styleId="HTMLPreformatted">
    <w:name w:val="HTML Preformatted"/>
    <w:basedOn w:val="Normal"/>
    <w:link w:val="HTMLPreformattedChar"/>
    <w:uiPriority w:val="99"/>
    <w:semiHidden/>
    <w:unhideWhenUsed/>
    <w:rsid w:val="00F4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F41BFF"/>
    <w:rPr>
      <w:rFonts w:ascii="Courier New" w:eastAsia="Times New Roman" w:hAnsi="Courier New" w:cs="Courier New"/>
      <w:sz w:val="20"/>
      <w:szCs w:val="20"/>
      <w:lang w:val="en-ID" w:eastAsia="en-ID"/>
    </w:rPr>
  </w:style>
  <w:style w:type="character" w:customStyle="1" w:styleId="y2iqfc">
    <w:name w:val="y2iqfc"/>
    <w:rsid w:val="00F41BFF"/>
  </w:style>
  <w:style w:type="character" w:customStyle="1" w:styleId="personname">
    <w:name w:val="person_name"/>
    <w:rsid w:val="00F41BFF"/>
  </w:style>
  <w:style w:type="character" w:customStyle="1" w:styleId="a1">
    <w:name w:val="_"/>
    <w:rsid w:val="00F41BFF"/>
  </w:style>
  <w:style w:type="character" w:customStyle="1" w:styleId="ff2">
    <w:name w:val="ff2"/>
    <w:rsid w:val="00F41BFF"/>
  </w:style>
  <w:style w:type="character" w:customStyle="1" w:styleId="ff1">
    <w:name w:val="ff1"/>
    <w:rsid w:val="00F41BFF"/>
  </w:style>
  <w:style w:type="paragraph" w:customStyle="1" w:styleId="Article">
    <w:name w:val="Article"/>
    <w:basedOn w:val="Heading1"/>
    <w:uiPriority w:val="99"/>
    <w:rsid w:val="00EF02EC"/>
    <w:pPr>
      <w:autoSpaceDE w:val="0"/>
      <w:autoSpaceDN w:val="0"/>
      <w:adjustRightInd w:val="0"/>
      <w:spacing w:before="0" w:after="0" w:line="288" w:lineRule="auto"/>
      <w:jc w:val="both"/>
      <w:textAlignment w:val="center"/>
    </w:pPr>
    <w:rPr>
      <w:rFonts w:ascii="Garamond" w:eastAsiaTheme="majorEastAsia" w:hAnsi="Garamond" w:cs="MinionPro-Regular"/>
      <w:sz w:val="22"/>
      <w:szCs w:val="32"/>
      <w:lang w:val="en-US"/>
    </w:rPr>
  </w:style>
  <w:style w:type="character" w:customStyle="1" w:styleId="primary-color">
    <w:name w:val="primary-color"/>
    <w:basedOn w:val="DefaultParagraphFont"/>
    <w:rsid w:val="00BA6461"/>
  </w:style>
  <w:style w:type="table" w:customStyle="1" w:styleId="TableGrid">
    <w:name w:val="TableGrid"/>
    <w:rsid w:val="000279CC"/>
    <w:rPr>
      <w:rFonts w:asciiTheme="minorHAnsi" w:eastAsiaTheme="minorEastAsia" w:hAnsiTheme="minorHAnsi" w:cstheme="minorBidi"/>
      <w:sz w:val="22"/>
      <w:szCs w:val="22"/>
      <w:lang w:eastAsia="id-ID"/>
    </w:rPr>
    <w:tblPr>
      <w:tblCellMar>
        <w:top w:w="0" w:type="dxa"/>
        <w:left w:w="0" w:type="dxa"/>
        <w:bottom w:w="0" w:type="dxa"/>
        <w:right w:w="0" w:type="dxa"/>
      </w:tblCellMar>
    </w:tblPr>
  </w:style>
  <w:style w:type="paragraph" w:styleId="Footer">
    <w:name w:val="footer"/>
    <w:basedOn w:val="Normal"/>
    <w:link w:val="FooterChar"/>
    <w:uiPriority w:val="99"/>
    <w:unhideWhenUsed/>
    <w:rsid w:val="009220AD"/>
    <w:pPr>
      <w:tabs>
        <w:tab w:val="center" w:pos="4680"/>
        <w:tab w:val="right" w:pos="9360"/>
      </w:tabs>
    </w:pPr>
  </w:style>
  <w:style w:type="character" w:customStyle="1" w:styleId="FooterChar">
    <w:name w:val="Footer Char"/>
    <w:basedOn w:val="DefaultParagraphFont"/>
    <w:link w:val="Footer"/>
    <w:uiPriority w:val="99"/>
    <w:rsid w:val="009220AD"/>
  </w:style>
  <w:style w:type="character" w:styleId="Strong">
    <w:name w:val="Strong"/>
    <w:basedOn w:val="DefaultParagraphFont"/>
    <w:uiPriority w:val="22"/>
    <w:qFormat/>
    <w:rsid w:val="00656BAB"/>
    <w:rPr>
      <w:b/>
      <w:bCs/>
    </w:rPr>
  </w:style>
  <w:style w:type="character" w:customStyle="1" w:styleId="TitleChar">
    <w:name w:val="Title Char"/>
    <w:basedOn w:val="DefaultParagraphFont"/>
    <w:link w:val="Title"/>
    <w:rsid w:val="00AB7C56"/>
    <w:rPr>
      <w:rFonts w:ascii="Times New Roman" w:eastAsia="Times New Roman" w:hAnsi="Times New Roman" w:cs="Times New Roman"/>
      <w:b/>
      <w:sz w:val="28"/>
      <w:szCs w:val="28"/>
      <w:lang w:val="en-ID"/>
    </w:rPr>
  </w:style>
  <w:style w:type="table" w:styleId="TableGrid0">
    <w:name w:val="Table Grid"/>
    <w:basedOn w:val="TableNormal"/>
    <w:uiPriority w:val="39"/>
    <w:rsid w:val="00EA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tle">
    <w:name w:val="Style Title"/>
    <w:basedOn w:val="Title"/>
    <w:rsid w:val="00571E50"/>
    <w:pPr>
      <w:suppressAutoHyphens/>
    </w:pPr>
    <w:rPr>
      <w:rFonts w:cs="Arial"/>
      <w:bCs/>
      <w:kern w:val="2"/>
      <w:sz w:val="24"/>
      <w:szCs w:val="32"/>
      <w:lang w:val="id-ID" w:eastAsia="ar-SA"/>
    </w:rPr>
  </w:style>
  <w:style w:type="paragraph" w:customStyle="1" w:styleId="regular">
    <w:name w:val="regular"/>
    <w:basedOn w:val="Normal"/>
    <w:qFormat/>
    <w:rsid w:val="00175119"/>
    <w:pPr>
      <w:autoSpaceDE w:val="0"/>
      <w:autoSpaceDN w:val="0"/>
      <w:adjustRightInd w:val="0"/>
      <w:spacing w:line="276" w:lineRule="auto"/>
      <w:ind w:firstLine="720"/>
      <w:jc w:val="both"/>
    </w:pPr>
    <w:rPr>
      <w:rFonts w:ascii="Garamond" w:hAnsi="Garamond" w:cs="Arial"/>
      <w:sz w:val="20"/>
      <w:szCs w:val="20"/>
      <w:lang w:val="id-ID" w:eastAsia="id-ID"/>
    </w:rPr>
  </w:style>
  <w:style w:type="paragraph" w:styleId="Header">
    <w:name w:val="header"/>
    <w:basedOn w:val="Normal"/>
    <w:link w:val="HeaderChar"/>
    <w:uiPriority w:val="99"/>
    <w:unhideWhenUsed/>
    <w:rsid w:val="008457DA"/>
    <w:pPr>
      <w:tabs>
        <w:tab w:val="center" w:pos="4680"/>
        <w:tab w:val="right" w:pos="9360"/>
      </w:tabs>
    </w:pPr>
    <w:rPr>
      <w:rFonts w:ascii="Calibri" w:eastAsia="Calibri" w:hAnsi="Calibri" w:cs="Calibri"/>
      <w:lang w:val="id-ID"/>
    </w:rPr>
  </w:style>
  <w:style w:type="character" w:customStyle="1" w:styleId="HeaderChar">
    <w:name w:val="Header Char"/>
    <w:basedOn w:val="DefaultParagraphFont"/>
    <w:link w:val="Header"/>
    <w:uiPriority w:val="99"/>
    <w:qFormat/>
    <w:rsid w:val="008457DA"/>
  </w:style>
  <w:style w:type="paragraph" w:styleId="BalloonText">
    <w:name w:val="Balloon Text"/>
    <w:basedOn w:val="Normal"/>
    <w:link w:val="BalloonTextChar"/>
    <w:uiPriority w:val="99"/>
    <w:semiHidden/>
    <w:unhideWhenUsed/>
    <w:rsid w:val="00065306"/>
    <w:rPr>
      <w:rFonts w:ascii="Tahoma" w:hAnsi="Tahoma" w:cs="Tahoma"/>
      <w:sz w:val="16"/>
      <w:szCs w:val="16"/>
    </w:rPr>
  </w:style>
  <w:style w:type="character" w:customStyle="1" w:styleId="BalloonTextChar">
    <w:name w:val="Balloon Text Char"/>
    <w:basedOn w:val="DefaultParagraphFont"/>
    <w:link w:val="BalloonText"/>
    <w:uiPriority w:val="99"/>
    <w:semiHidden/>
    <w:rsid w:val="00065306"/>
    <w:rPr>
      <w:rFonts w:ascii="Tahoma" w:eastAsia="Times New Roman" w:hAnsi="Tahoma" w:cs="Tahoma"/>
      <w:sz w:val="16"/>
      <w:szCs w:val="16"/>
      <w:lang w:val="en-ID"/>
    </w:rPr>
  </w:style>
  <w:style w:type="paragraph" w:styleId="Bibliography">
    <w:name w:val="Bibliography"/>
    <w:basedOn w:val="Normal"/>
    <w:next w:val="Normal"/>
    <w:uiPriority w:val="37"/>
    <w:unhideWhenUsed/>
    <w:rsid w:val="0006246A"/>
    <w:pPr>
      <w:tabs>
        <w:tab w:val="left" w:pos="384"/>
      </w:tabs>
      <w:spacing w:after="240"/>
      <w:ind w:left="384" w:hanging="384"/>
    </w:pPr>
  </w:style>
  <w:style w:type="paragraph" w:styleId="CommentText">
    <w:name w:val="annotation text"/>
    <w:basedOn w:val="Normal"/>
    <w:link w:val="CommentTextChar"/>
    <w:uiPriority w:val="99"/>
    <w:unhideWhenUsed/>
    <w:rsid w:val="002350E8"/>
    <w:pPr>
      <w:spacing w:after="160" w:line="25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2350E8"/>
    <w:rPr>
      <w:rFonts w:cs="Times New Roman"/>
      <w:sz w:val="20"/>
      <w:szCs w:val="20"/>
      <w:lang w:val="en-US"/>
    </w:rPr>
  </w:style>
  <w:style w:type="character" w:styleId="CommentReference">
    <w:name w:val="annotation reference"/>
    <w:basedOn w:val="DefaultParagraphFont"/>
    <w:uiPriority w:val="99"/>
    <w:semiHidden/>
    <w:unhideWhenUsed/>
    <w:rsid w:val="002350E8"/>
    <w:rPr>
      <w:sz w:val="16"/>
      <w:szCs w:val="16"/>
    </w:rPr>
  </w:style>
  <w:style w:type="character" w:styleId="IntenseEmphasis">
    <w:name w:val="Intense Emphasis"/>
    <w:uiPriority w:val="21"/>
    <w:qFormat/>
    <w:rsid w:val="00911804"/>
    <w:rPr>
      <w:i/>
      <w:iCs/>
      <w:color w:val="4472C4"/>
    </w:rPr>
  </w:style>
  <w:style w:type="character" w:styleId="PageNumber">
    <w:name w:val="page number"/>
    <w:basedOn w:val="DefaultParagraphFont"/>
    <w:rsid w:val="001B4217"/>
  </w:style>
  <w:style w:type="paragraph" w:customStyle="1" w:styleId="footnotedescription">
    <w:name w:val="footnote description"/>
    <w:next w:val="Normal"/>
    <w:link w:val="footnotedescriptionChar"/>
    <w:rsid w:val="00CA495B"/>
    <w:pPr>
      <w:spacing w:line="259" w:lineRule="auto"/>
    </w:pPr>
    <w:rPr>
      <w:rFonts w:ascii="Arial" w:eastAsia="Arial" w:hAnsi="Arial" w:cs="Arial"/>
      <w:color w:val="000000"/>
      <w:kern w:val="2"/>
      <w:sz w:val="20"/>
      <w:szCs w:val="22"/>
      <w:lang w:eastAsia="id-ID"/>
    </w:rPr>
  </w:style>
  <w:style w:type="character" w:customStyle="1" w:styleId="footnotedescriptionChar">
    <w:name w:val="footnote description Char"/>
    <w:link w:val="footnotedescription"/>
    <w:rsid w:val="00CA495B"/>
    <w:rPr>
      <w:rFonts w:ascii="Arial" w:eastAsia="Arial" w:hAnsi="Arial" w:cs="Arial"/>
      <w:color w:val="000000"/>
      <w:kern w:val="2"/>
      <w:sz w:val="20"/>
      <w:szCs w:val="22"/>
      <w:lang w:eastAsia="id-ID"/>
    </w:rPr>
  </w:style>
  <w:style w:type="character" w:customStyle="1" w:styleId="selectable-text">
    <w:name w:val="selectable-text"/>
    <w:basedOn w:val="DefaultParagraphFont"/>
    <w:rsid w:val="00C56C71"/>
  </w:style>
  <w:style w:type="paragraph" w:styleId="BodyText">
    <w:name w:val="Body Text"/>
    <w:basedOn w:val="Normal"/>
    <w:link w:val="BodyTextChar"/>
    <w:uiPriority w:val="1"/>
    <w:qFormat/>
    <w:rsid w:val="00BE6646"/>
    <w:pPr>
      <w:widowControl w:val="0"/>
      <w:autoSpaceDE w:val="0"/>
      <w:autoSpaceDN w:val="0"/>
    </w:pPr>
    <w:rPr>
      <w:lang w:val="id"/>
    </w:rPr>
  </w:style>
  <w:style w:type="character" w:customStyle="1" w:styleId="BodyTextChar">
    <w:name w:val="Body Text Char"/>
    <w:basedOn w:val="DefaultParagraphFont"/>
    <w:link w:val="BodyText"/>
    <w:uiPriority w:val="1"/>
    <w:rsid w:val="00BE6646"/>
    <w:rPr>
      <w:rFonts w:ascii="Times New Roman" w:eastAsia="Times New Roman" w:hAnsi="Times New Roman" w:cs="Times New Roman"/>
      <w:lang w:val="id"/>
    </w:r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paragraph" w:customStyle="1" w:styleId="Body">
    <w:name w:val="Body"/>
    <w:rsid w:val="00E64430"/>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numbering" w:customStyle="1" w:styleId="ImportedStyle2">
    <w:name w:val="Imported Style 2"/>
    <w:rsid w:val="001E3740"/>
    <w:pPr>
      <w:numPr>
        <w:numId w:val="2"/>
      </w:numPr>
    </w:pPr>
  </w:style>
  <w:style w:type="numbering" w:customStyle="1" w:styleId="ImportedStyle3">
    <w:name w:val="Imported Style 3"/>
    <w:rsid w:val="001E3740"/>
    <w:pPr>
      <w:numPr>
        <w:numId w:val="6"/>
      </w:numPr>
    </w:pPr>
  </w:style>
  <w:style w:type="numbering" w:customStyle="1" w:styleId="ImportedStyle4">
    <w:name w:val="Imported Style 4"/>
    <w:rsid w:val="001E3740"/>
    <w:pPr>
      <w:numPr>
        <w:numId w:val="8"/>
      </w:numPr>
    </w:pPr>
  </w:style>
  <w:style w:type="numbering" w:customStyle="1" w:styleId="ImportedStyle5">
    <w:name w:val="Imported Style 5"/>
    <w:rsid w:val="001E3740"/>
    <w:pPr>
      <w:numPr>
        <w:numId w:val="11"/>
      </w:numPr>
    </w:pPr>
  </w:style>
  <w:style w:type="numbering" w:customStyle="1" w:styleId="ImportedStyle6">
    <w:name w:val="Imported Style 6"/>
    <w:rsid w:val="001E3740"/>
    <w:pPr>
      <w:numPr>
        <w:numId w:val="13"/>
      </w:numPr>
    </w:pPr>
  </w:style>
  <w:style w:type="numbering" w:customStyle="1" w:styleId="ImportedStyle7">
    <w:name w:val="Imported Style 7"/>
    <w:rsid w:val="001E3740"/>
    <w:pPr>
      <w:numPr>
        <w:numId w:val="15"/>
      </w:numPr>
    </w:pPr>
  </w:style>
  <w:style w:type="numbering" w:customStyle="1" w:styleId="ImportedStyle8">
    <w:name w:val="Imported Style 8"/>
    <w:rsid w:val="001E3740"/>
    <w:pPr>
      <w:numPr>
        <w:numId w:val="18"/>
      </w:numPr>
    </w:pPr>
  </w:style>
  <w:style w:type="numbering" w:customStyle="1" w:styleId="ImportedStyle9">
    <w:name w:val="Imported Style 9"/>
    <w:rsid w:val="001E3740"/>
    <w:pPr>
      <w:numPr>
        <w:numId w:val="20"/>
      </w:numPr>
    </w:pPr>
  </w:style>
  <w:style w:type="numbering" w:customStyle="1" w:styleId="ImportedStyle10">
    <w:name w:val="Imported Style 10"/>
    <w:rsid w:val="001E3740"/>
    <w:pPr>
      <w:numPr>
        <w:numId w:val="23"/>
      </w:numPr>
    </w:pPr>
  </w:style>
  <w:style w:type="character" w:styleId="FollowedHyperlink">
    <w:name w:val="FollowedHyperlink"/>
    <w:basedOn w:val="DefaultParagraphFont"/>
    <w:uiPriority w:val="99"/>
    <w:semiHidden/>
    <w:unhideWhenUsed/>
    <w:rsid w:val="008C5F15"/>
    <w:rPr>
      <w:color w:val="800080" w:themeColor="followedHyperlink"/>
      <w:u w:val="single"/>
    </w:rPr>
  </w:style>
  <w:style w:type="table" w:styleId="GridTable4-Accent1">
    <w:name w:val="Grid Table 4 Accent 1"/>
    <w:basedOn w:val="TableNormal"/>
    <w:uiPriority w:val="49"/>
    <w:rsid w:val="00F31809"/>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002356">
      <w:bodyDiv w:val="1"/>
      <w:marLeft w:val="0"/>
      <w:marRight w:val="0"/>
      <w:marTop w:val="0"/>
      <w:marBottom w:val="0"/>
      <w:divBdr>
        <w:top w:val="none" w:sz="0" w:space="0" w:color="auto"/>
        <w:left w:val="none" w:sz="0" w:space="0" w:color="auto"/>
        <w:bottom w:val="none" w:sz="0" w:space="0" w:color="auto"/>
        <w:right w:val="none" w:sz="0" w:space="0" w:color="auto"/>
      </w:divBdr>
    </w:div>
    <w:div w:id="1025715087">
      <w:bodyDiv w:val="1"/>
      <w:marLeft w:val="0"/>
      <w:marRight w:val="0"/>
      <w:marTop w:val="0"/>
      <w:marBottom w:val="0"/>
      <w:divBdr>
        <w:top w:val="none" w:sz="0" w:space="0" w:color="auto"/>
        <w:left w:val="none" w:sz="0" w:space="0" w:color="auto"/>
        <w:bottom w:val="none" w:sz="0" w:space="0" w:color="auto"/>
        <w:right w:val="none" w:sz="0" w:space="0" w:color="auto"/>
      </w:divBdr>
    </w:div>
    <w:div w:id="1497064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17BF30-F201-4A6F-AAAD-05A6E5BC0F62}" type="doc">
      <dgm:prSet loTypeId="urn:microsoft.com/office/officeart/2008/layout/RadialCluster" loCatId="cycle" qsTypeId="urn:microsoft.com/office/officeart/2005/8/quickstyle/simple3" qsCatId="simple" csTypeId="urn:microsoft.com/office/officeart/2005/8/colors/accent1_2" csCatId="accent1" phldr="1"/>
      <dgm:spPr/>
      <dgm:t>
        <a:bodyPr/>
        <a:lstStyle/>
        <a:p>
          <a:endParaRPr lang="en-ID"/>
        </a:p>
      </dgm:t>
    </dgm:pt>
    <dgm:pt modelId="{C5DE2D60-89C6-4BE4-8587-766030E319A3}">
      <dgm:prSet phldrT="[Text]"/>
      <dgm:spPr/>
      <dgm:t>
        <a:bodyPr/>
        <a:lstStyle/>
        <a:p>
          <a:pPr algn="ctr"/>
          <a:r>
            <a:rPr lang="en-ID"/>
            <a:t>Behavioral Finance </a:t>
          </a:r>
        </a:p>
      </dgm:t>
    </dgm:pt>
    <dgm:pt modelId="{6647AA47-FA7B-47C1-B8D8-1C27F6F39B81}" type="parTrans" cxnId="{EB036DD4-5379-4814-9CBC-4E4D524DA52F}">
      <dgm:prSet/>
      <dgm:spPr/>
      <dgm:t>
        <a:bodyPr/>
        <a:lstStyle/>
        <a:p>
          <a:pPr algn="ctr"/>
          <a:endParaRPr lang="en-ID"/>
        </a:p>
      </dgm:t>
    </dgm:pt>
    <dgm:pt modelId="{F1DB7C53-94EF-4BDA-A9D6-04C6DD3B066F}" type="sibTrans" cxnId="{EB036DD4-5379-4814-9CBC-4E4D524DA52F}">
      <dgm:prSet/>
      <dgm:spPr/>
      <dgm:t>
        <a:bodyPr/>
        <a:lstStyle/>
        <a:p>
          <a:pPr algn="ctr"/>
          <a:endParaRPr lang="en-ID"/>
        </a:p>
      </dgm:t>
    </dgm:pt>
    <dgm:pt modelId="{850737A6-5868-4EF7-9269-2EA109E04B36}">
      <dgm:prSet phldrT="[Text]"/>
      <dgm:spPr/>
      <dgm:t>
        <a:bodyPr/>
        <a:lstStyle/>
        <a:p>
          <a:pPr algn="ctr"/>
          <a:r>
            <a:rPr lang="en-ID"/>
            <a:t>Keputusan investasi</a:t>
          </a:r>
        </a:p>
      </dgm:t>
    </dgm:pt>
    <dgm:pt modelId="{4367CD8E-B660-4A52-B29C-99768AE89D8A}" type="parTrans" cxnId="{5DF617D3-6643-4EFD-90CC-DF5A50A048BC}">
      <dgm:prSet/>
      <dgm:spPr/>
      <dgm:t>
        <a:bodyPr/>
        <a:lstStyle/>
        <a:p>
          <a:pPr algn="ctr"/>
          <a:endParaRPr lang="en-ID"/>
        </a:p>
      </dgm:t>
    </dgm:pt>
    <dgm:pt modelId="{F6931E59-B69D-471D-8E38-8340D6A80DBC}" type="sibTrans" cxnId="{5DF617D3-6643-4EFD-90CC-DF5A50A048BC}">
      <dgm:prSet/>
      <dgm:spPr/>
      <dgm:t>
        <a:bodyPr/>
        <a:lstStyle/>
        <a:p>
          <a:pPr algn="ctr"/>
          <a:endParaRPr lang="en-ID"/>
        </a:p>
      </dgm:t>
    </dgm:pt>
    <dgm:pt modelId="{01A3102E-D632-436D-8EF2-974992F70607}">
      <dgm:prSet phldrT="[Text]"/>
      <dgm:spPr/>
      <dgm:t>
        <a:bodyPr/>
        <a:lstStyle/>
        <a:p>
          <a:pPr algn="ctr"/>
          <a:r>
            <a:rPr lang="en-ID"/>
            <a:t>Risiko</a:t>
          </a:r>
        </a:p>
      </dgm:t>
    </dgm:pt>
    <dgm:pt modelId="{31738052-CDE2-4BD1-9A80-180252DEF71F}" type="parTrans" cxnId="{8D179B2E-1C89-41AF-912A-17DB59D219D9}">
      <dgm:prSet/>
      <dgm:spPr/>
      <dgm:t>
        <a:bodyPr/>
        <a:lstStyle/>
        <a:p>
          <a:pPr algn="ctr"/>
          <a:endParaRPr lang="en-ID"/>
        </a:p>
      </dgm:t>
    </dgm:pt>
    <dgm:pt modelId="{58153910-CD48-439F-88DB-393BEEA142E1}" type="sibTrans" cxnId="{8D179B2E-1C89-41AF-912A-17DB59D219D9}">
      <dgm:prSet/>
      <dgm:spPr/>
      <dgm:t>
        <a:bodyPr/>
        <a:lstStyle/>
        <a:p>
          <a:pPr algn="ctr"/>
          <a:endParaRPr lang="en-ID"/>
        </a:p>
      </dgm:t>
    </dgm:pt>
    <dgm:pt modelId="{8D51F7CF-449C-4C48-BE16-42AF8A1D0687}">
      <dgm:prSet phldrT="[Text]"/>
      <dgm:spPr/>
      <dgm:t>
        <a:bodyPr/>
        <a:lstStyle/>
        <a:p>
          <a:pPr algn="ctr"/>
          <a:r>
            <a:rPr lang="en-ID"/>
            <a:t>Imbal Hasil</a:t>
          </a:r>
        </a:p>
      </dgm:t>
    </dgm:pt>
    <dgm:pt modelId="{A41485CE-AD8C-4E68-8842-1412AC72E71D}" type="parTrans" cxnId="{2BB97F0C-599E-43DF-8A2E-C9F224709F22}">
      <dgm:prSet/>
      <dgm:spPr/>
      <dgm:t>
        <a:bodyPr/>
        <a:lstStyle/>
        <a:p>
          <a:pPr algn="ctr"/>
          <a:endParaRPr lang="en-ID"/>
        </a:p>
      </dgm:t>
    </dgm:pt>
    <dgm:pt modelId="{547F89C9-D589-4538-904A-4A724AEE492D}" type="sibTrans" cxnId="{2BB97F0C-599E-43DF-8A2E-C9F224709F22}">
      <dgm:prSet/>
      <dgm:spPr/>
      <dgm:t>
        <a:bodyPr/>
        <a:lstStyle/>
        <a:p>
          <a:pPr algn="ctr"/>
          <a:endParaRPr lang="en-ID"/>
        </a:p>
      </dgm:t>
    </dgm:pt>
    <dgm:pt modelId="{D79C9425-5524-4278-B65B-38FB7E4E18EE}" type="pres">
      <dgm:prSet presAssocID="{2017BF30-F201-4A6F-AAAD-05A6E5BC0F62}" presName="Name0" presStyleCnt="0">
        <dgm:presLayoutVars>
          <dgm:chMax val="1"/>
          <dgm:chPref val="1"/>
          <dgm:dir/>
          <dgm:animOne val="branch"/>
          <dgm:animLvl val="lvl"/>
        </dgm:presLayoutVars>
      </dgm:prSet>
      <dgm:spPr/>
    </dgm:pt>
    <dgm:pt modelId="{F8CE6C84-EE45-405B-9D47-B710581A9543}" type="pres">
      <dgm:prSet presAssocID="{C5DE2D60-89C6-4BE4-8587-766030E319A3}" presName="singleCycle" presStyleCnt="0"/>
      <dgm:spPr/>
    </dgm:pt>
    <dgm:pt modelId="{66ABFEC3-5FDE-41B0-824C-7D785F5A17F0}" type="pres">
      <dgm:prSet presAssocID="{C5DE2D60-89C6-4BE4-8587-766030E319A3}" presName="singleCenter" presStyleLbl="node1" presStyleIdx="0" presStyleCnt="4">
        <dgm:presLayoutVars>
          <dgm:chMax val="7"/>
          <dgm:chPref val="7"/>
        </dgm:presLayoutVars>
      </dgm:prSet>
      <dgm:spPr/>
    </dgm:pt>
    <dgm:pt modelId="{A45CD848-E369-4F8E-9190-4E162DE74EAE}" type="pres">
      <dgm:prSet presAssocID="{4367CD8E-B660-4A52-B29C-99768AE89D8A}" presName="Name56" presStyleLbl="parChTrans1D2" presStyleIdx="0" presStyleCnt="3"/>
      <dgm:spPr/>
    </dgm:pt>
    <dgm:pt modelId="{21399680-5E1D-44D4-BB77-97AB3A648DC0}" type="pres">
      <dgm:prSet presAssocID="{850737A6-5868-4EF7-9269-2EA109E04B36}" presName="text0" presStyleLbl="node1" presStyleIdx="1" presStyleCnt="4" custScaleX="294192">
        <dgm:presLayoutVars>
          <dgm:bulletEnabled val="1"/>
        </dgm:presLayoutVars>
      </dgm:prSet>
      <dgm:spPr/>
    </dgm:pt>
    <dgm:pt modelId="{14FBADFA-084F-48CE-A382-9C6303776449}" type="pres">
      <dgm:prSet presAssocID="{31738052-CDE2-4BD1-9A80-180252DEF71F}" presName="Name56" presStyleLbl="parChTrans1D2" presStyleIdx="1" presStyleCnt="3"/>
      <dgm:spPr/>
    </dgm:pt>
    <dgm:pt modelId="{895DF167-CC3C-490B-87DF-E679A2C5C5B7}" type="pres">
      <dgm:prSet presAssocID="{01A3102E-D632-436D-8EF2-974992F70607}" presName="text0" presStyleLbl="node1" presStyleIdx="2" presStyleCnt="4">
        <dgm:presLayoutVars>
          <dgm:bulletEnabled val="1"/>
        </dgm:presLayoutVars>
      </dgm:prSet>
      <dgm:spPr/>
    </dgm:pt>
    <dgm:pt modelId="{3F3E5A20-EF28-41B0-87A5-DB5BDC62F8BD}" type="pres">
      <dgm:prSet presAssocID="{A41485CE-AD8C-4E68-8842-1412AC72E71D}" presName="Name56" presStyleLbl="parChTrans1D2" presStyleIdx="2" presStyleCnt="3"/>
      <dgm:spPr/>
    </dgm:pt>
    <dgm:pt modelId="{F8246F18-3525-4FA5-A965-EE1B376020E1}" type="pres">
      <dgm:prSet presAssocID="{8D51F7CF-449C-4C48-BE16-42AF8A1D0687}" presName="text0" presStyleLbl="node1" presStyleIdx="3" presStyleCnt="4">
        <dgm:presLayoutVars>
          <dgm:bulletEnabled val="1"/>
        </dgm:presLayoutVars>
      </dgm:prSet>
      <dgm:spPr/>
    </dgm:pt>
  </dgm:ptLst>
  <dgm:cxnLst>
    <dgm:cxn modelId="{2BB97F0C-599E-43DF-8A2E-C9F224709F22}" srcId="{C5DE2D60-89C6-4BE4-8587-766030E319A3}" destId="{8D51F7CF-449C-4C48-BE16-42AF8A1D0687}" srcOrd="2" destOrd="0" parTransId="{A41485CE-AD8C-4E68-8842-1412AC72E71D}" sibTransId="{547F89C9-D589-4538-904A-4A724AEE492D}"/>
    <dgm:cxn modelId="{8D179B2E-1C89-41AF-912A-17DB59D219D9}" srcId="{C5DE2D60-89C6-4BE4-8587-766030E319A3}" destId="{01A3102E-D632-436D-8EF2-974992F70607}" srcOrd="1" destOrd="0" parTransId="{31738052-CDE2-4BD1-9A80-180252DEF71F}" sibTransId="{58153910-CD48-439F-88DB-393BEEA142E1}"/>
    <dgm:cxn modelId="{DF6BF064-12B0-4B6B-B736-53F668619A79}" type="presOf" srcId="{8D51F7CF-449C-4C48-BE16-42AF8A1D0687}" destId="{F8246F18-3525-4FA5-A965-EE1B376020E1}" srcOrd="0" destOrd="0" presId="urn:microsoft.com/office/officeart/2008/layout/RadialCluster"/>
    <dgm:cxn modelId="{4BBF8D6F-FE71-44CD-BDA4-D3EA2B62E5BE}" type="presOf" srcId="{2017BF30-F201-4A6F-AAAD-05A6E5BC0F62}" destId="{D79C9425-5524-4278-B65B-38FB7E4E18EE}" srcOrd="0" destOrd="0" presId="urn:microsoft.com/office/officeart/2008/layout/RadialCluster"/>
    <dgm:cxn modelId="{9881BD7C-728D-4353-AAB8-6A4B39C08B71}" type="presOf" srcId="{A41485CE-AD8C-4E68-8842-1412AC72E71D}" destId="{3F3E5A20-EF28-41B0-87A5-DB5BDC62F8BD}" srcOrd="0" destOrd="0" presId="urn:microsoft.com/office/officeart/2008/layout/RadialCluster"/>
    <dgm:cxn modelId="{B68D55A6-993B-4C69-A5D6-690DD3BC57C3}" type="presOf" srcId="{850737A6-5868-4EF7-9269-2EA109E04B36}" destId="{21399680-5E1D-44D4-BB77-97AB3A648DC0}" srcOrd="0" destOrd="0" presId="urn:microsoft.com/office/officeart/2008/layout/RadialCluster"/>
    <dgm:cxn modelId="{FFD32DB7-B3EE-42C0-8017-6B4736005D5C}" type="presOf" srcId="{4367CD8E-B660-4A52-B29C-99768AE89D8A}" destId="{A45CD848-E369-4F8E-9190-4E162DE74EAE}" srcOrd="0" destOrd="0" presId="urn:microsoft.com/office/officeart/2008/layout/RadialCluster"/>
    <dgm:cxn modelId="{3C1760B8-7C7D-473D-81C9-2106485E011C}" type="presOf" srcId="{01A3102E-D632-436D-8EF2-974992F70607}" destId="{895DF167-CC3C-490B-87DF-E679A2C5C5B7}" srcOrd="0" destOrd="0" presId="urn:microsoft.com/office/officeart/2008/layout/RadialCluster"/>
    <dgm:cxn modelId="{7518E0CD-3B20-4847-8FA9-D58E03810A09}" type="presOf" srcId="{C5DE2D60-89C6-4BE4-8587-766030E319A3}" destId="{66ABFEC3-5FDE-41B0-824C-7D785F5A17F0}" srcOrd="0" destOrd="0" presId="urn:microsoft.com/office/officeart/2008/layout/RadialCluster"/>
    <dgm:cxn modelId="{5DF617D3-6643-4EFD-90CC-DF5A50A048BC}" srcId="{C5DE2D60-89C6-4BE4-8587-766030E319A3}" destId="{850737A6-5868-4EF7-9269-2EA109E04B36}" srcOrd="0" destOrd="0" parTransId="{4367CD8E-B660-4A52-B29C-99768AE89D8A}" sibTransId="{F6931E59-B69D-471D-8E38-8340D6A80DBC}"/>
    <dgm:cxn modelId="{EB036DD4-5379-4814-9CBC-4E4D524DA52F}" srcId="{2017BF30-F201-4A6F-AAAD-05A6E5BC0F62}" destId="{C5DE2D60-89C6-4BE4-8587-766030E319A3}" srcOrd="0" destOrd="0" parTransId="{6647AA47-FA7B-47C1-B8D8-1C27F6F39B81}" sibTransId="{F1DB7C53-94EF-4BDA-A9D6-04C6DD3B066F}"/>
    <dgm:cxn modelId="{08F978D9-BDBA-4D81-9F91-7AC16793E34F}" type="presOf" srcId="{31738052-CDE2-4BD1-9A80-180252DEF71F}" destId="{14FBADFA-084F-48CE-A382-9C6303776449}" srcOrd="0" destOrd="0" presId="urn:microsoft.com/office/officeart/2008/layout/RadialCluster"/>
    <dgm:cxn modelId="{D34F7A7A-6C6E-4382-A391-5FADC87CB4C7}" type="presParOf" srcId="{D79C9425-5524-4278-B65B-38FB7E4E18EE}" destId="{F8CE6C84-EE45-405B-9D47-B710581A9543}" srcOrd="0" destOrd="0" presId="urn:microsoft.com/office/officeart/2008/layout/RadialCluster"/>
    <dgm:cxn modelId="{F720D197-A841-4D72-95D9-618707378065}" type="presParOf" srcId="{F8CE6C84-EE45-405B-9D47-B710581A9543}" destId="{66ABFEC3-5FDE-41B0-824C-7D785F5A17F0}" srcOrd="0" destOrd="0" presId="urn:microsoft.com/office/officeart/2008/layout/RadialCluster"/>
    <dgm:cxn modelId="{26D3B827-ADF9-4792-B943-2EA6BC30699D}" type="presParOf" srcId="{F8CE6C84-EE45-405B-9D47-B710581A9543}" destId="{A45CD848-E369-4F8E-9190-4E162DE74EAE}" srcOrd="1" destOrd="0" presId="urn:microsoft.com/office/officeart/2008/layout/RadialCluster"/>
    <dgm:cxn modelId="{A34DE25B-9DA7-4362-AD20-EC697BBF2B93}" type="presParOf" srcId="{F8CE6C84-EE45-405B-9D47-B710581A9543}" destId="{21399680-5E1D-44D4-BB77-97AB3A648DC0}" srcOrd="2" destOrd="0" presId="urn:microsoft.com/office/officeart/2008/layout/RadialCluster"/>
    <dgm:cxn modelId="{BF99FB2B-5A3F-4084-8212-C27F329A2ABA}" type="presParOf" srcId="{F8CE6C84-EE45-405B-9D47-B710581A9543}" destId="{14FBADFA-084F-48CE-A382-9C6303776449}" srcOrd="3" destOrd="0" presId="urn:microsoft.com/office/officeart/2008/layout/RadialCluster"/>
    <dgm:cxn modelId="{F3144B6D-3B41-486D-98C8-CE5DDFD51F17}" type="presParOf" srcId="{F8CE6C84-EE45-405B-9D47-B710581A9543}" destId="{895DF167-CC3C-490B-87DF-E679A2C5C5B7}" srcOrd="4" destOrd="0" presId="urn:microsoft.com/office/officeart/2008/layout/RadialCluster"/>
    <dgm:cxn modelId="{A14D515E-B57E-4BEF-A9EA-B9579340A1AE}" type="presParOf" srcId="{F8CE6C84-EE45-405B-9D47-B710581A9543}" destId="{3F3E5A20-EF28-41B0-87A5-DB5BDC62F8BD}" srcOrd="5" destOrd="0" presId="urn:microsoft.com/office/officeart/2008/layout/RadialCluster"/>
    <dgm:cxn modelId="{39C2E8BB-90DB-45F4-AD3A-DC8EECA4151E}" type="presParOf" srcId="{F8CE6C84-EE45-405B-9D47-B710581A9543}" destId="{F8246F18-3525-4FA5-A965-EE1B376020E1}" srcOrd="6" destOrd="0" presId="urn:microsoft.com/office/officeart/2008/layout/RadialCluster"/>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ABFEC3-5FDE-41B0-824C-7D785F5A17F0}">
      <dsp:nvSpPr>
        <dsp:cNvPr id="0" name=""/>
        <dsp:cNvSpPr/>
      </dsp:nvSpPr>
      <dsp:spPr>
        <a:xfrm>
          <a:off x="1158049" y="1010940"/>
          <a:ext cx="651891" cy="65189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ID" sz="900" kern="1200"/>
            <a:t>Behavioral Finance </a:t>
          </a:r>
        </a:p>
      </dsp:txBody>
      <dsp:txXfrm>
        <a:off x="1189872" y="1042763"/>
        <a:ext cx="588245" cy="588245"/>
      </dsp:txXfrm>
    </dsp:sp>
    <dsp:sp modelId="{A45CD848-E369-4F8E-9190-4E162DE74EAE}">
      <dsp:nvSpPr>
        <dsp:cNvPr id="0" name=""/>
        <dsp:cNvSpPr/>
      </dsp:nvSpPr>
      <dsp:spPr>
        <a:xfrm rot="16200000">
          <a:off x="1255357" y="782303"/>
          <a:ext cx="457274" cy="0"/>
        </a:xfrm>
        <a:custGeom>
          <a:avLst/>
          <a:gdLst/>
          <a:ahLst/>
          <a:cxnLst/>
          <a:rect l="0" t="0" r="0" b="0"/>
          <a:pathLst>
            <a:path>
              <a:moveTo>
                <a:pt x="0" y="0"/>
              </a:moveTo>
              <a:lnTo>
                <a:pt x="45727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399680-5E1D-44D4-BB77-97AB3A648DC0}">
      <dsp:nvSpPr>
        <dsp:cNvPr id="0" name=""/>
        <dsp:cNvSpPr/>
      </dsp:nvSpPr>
      <dsp:spPr>
        <a:xfrm>
          <a:off x="841528" y="116898"/>
          <a:ext cx="1284933" cy="436766"/>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ID" sz="1200" kern="1200"/>
            <a:t>Keputusan investasi</a:t>
          </a:r>
        </a:p>
      </dsp:txBody>
      <dsp:txXfrm>
        <a:off x="862849" y="138219"/>
        <a:ext cx="1242291" cy="394124"/>
      </dsp:txXfrm>
    </dsp:sp>
    <dsp:sp modelId="{14FBADFA-084F-48CE-A382-9C6303776449}">
      <dsp:nvSpPr>
        <dsp:cNvPr id="0" name=""/>
        <dsp:cNvSpPr/>
      </dsp:nvSpPr>
      <dsp:spPr>
        <a:xfrm rot="1800000">
          <a:off x="1784949" y="1618337"/>
          <a:ext cx="373066" cy="0"/>
        </a:xfrm>
        <a:custGeom>
          <a:avLst/>
          <a:gdLst/>
          <a:ahLst/>
          <a:cxnLst/>
          <a:rect l="0" t="0" r="0" b="0"/>
          <a:pathLst>
            <a:path>
              <a:moveTo>
                <a:pt x="0" y="0"/>
              </a:moveTo>
              <a:lnTo>
                <a:pt x="37306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5DF167-CC3C-490B-87DF-E679A2C5C5B7}">
      <dsp:nvSpPr>
        <dsp:cNvPr id="0" name=""/>
        <dsp:cNvSpPr/>
      </dsp:nvSpPr>
      <dsp:spPr>
        <a:xfrm>
          <a:off x="2133025" y="1619304"/>
          <a:ext cx="436766" cy="436766"/>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ID" sz="1000" kern="1200"/>
            <a:t>Risiko</a:t>
          </a:r>
        </a:p>
      </dsp:txBody>
      <dsp:txXfrm>
        <a:off x="2154346" y="1640625"/>
        <a:ext cx="394124" cy="394124"/>
      </dsp:txXfrm>
    </dsp:sp>
    <dsp:sp modelId="{3F3E5A20-EF28-41B0-87A5-DB5BDC62F8BD}">
      <dsp:nvSpPr>
        <dsp:cNvPr id="0" name=""/>
        <dsp:cNvSpPr/>
      </dsp:nvSpPr>
      <dsp:spPr>
        <a:xfrm rot="9000000">
          <a:off x="809973" y="1618337"/>
          <a:ext cx="373066" cy="0"/>
        </a:xfrm>
        <a:custGeom>
          <a:avLst/>
          <a:gdLst/>
          <a:ahLst/>
          <a:cxnLst/>
          <a:rect l="0" t="0" r="0" b="0"/>
          <a:pathLst>
            <a:path>
              <a:moveTo>
                <a:pt x="0" y="0"/>
              </a:moveTo>
              <a:lnTo>
                <a:pt x="37306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246F18-3525-4FA5-A965-EE1B376020E1}">
      <dsp:nvSpPr>
        <dsp:cNvPr id="0" name=""/>
        <dsp:cNvSpPr/>
      </dsp:nvSpPr>
      <dsp:spPr>
        <a:xfrm>
          <a:off x="398197" y="1619304"/>
          <a:ext cx="436766" cy="436766"/>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ID" sz="1000" kern="1200"/>
            <a:t>Imbal Hasil</a:t>
          </a:r>
        </a:p>
      </dsp:txBody>
      <dsp:txXfrm>
        <a:off x="419518" y="1640625"/>
        <a:ext cx="394124" cy="394124"/>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T/34VCpeupi6BFH6V5SXNJ3OQ==">CgMxLjAyCGguZ2pkZ3hzMgloLjMwajB6bGwyCWguMWZvYjl0ZTIJaC4zem55c2g3MgloLjJldDkycDAyCWguM2R5NnZrbTIOaC5wdW0wNjd3b2cxenYyDmguczR0ejBmbnp3OXhqMg5oLnk0ZjhjMTR3MGgzODIOaC55NGY4YzE0dzBoMzgyDmguOGhraTF5dnVkeWJpOAByITFlUk5EaGM0clh3N2wxeF9xZ3JIdlBXdjA3NWYtUmd1ZQ==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ikbal</dc:creator>
  <cp:lastModifiedBy>an343</cp:lastModifiedBy>
  <cp:revision>44</cp:revision>
  <cp:lastPrinted>2024-08-21T00:09:00Z</cp:lastPrinted>
  <dcterms:created xsi:type="dcterms:W3CDTF">2024-08-21T00:09:00Z</dcterms:created>
  <dcterms:modified xsi:type="dcterms:W3CDTF">2024-10-02T21:20:00Z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52ca8c22-e71b-32b1-8644-513f035347e5</vt:lpwstr>
  </property>
  <property fmtid="{D5CDD505-2E9C-101B-9397-08002B2CF9AE}" pid="25" name="ZOTERO_PREF_1">
    <vt:lpwstr>&lt;data data-version="3" zotero-version="6.0.27"&gt;&lt;session id="XB9DFpYz"/&gt;&lt;style id="http://www.zotero.org/styles/vancouver" locale="en-US" hasBibliography="1" bibliographyStyleHasBeenSet="1"/&gt;&lt;prefs&gt;&lt;pref name="fieldType" value="Field"/&gt;&lt;/prefs&gt;&lt;/data&gt;</vt:lpwstr>
  </property>
</Properties>
</file>